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360" w:lineRule="auto"/>
        <w:jc w:val="center"/>
        <w:rPr>
          <w:rFonts w:ascii="宋体" w:hAnsi="宋体"/>
          <w:b/>
          <w:sz w:val="24"/>
          <w:szCs w:val="24"/>
        </w:rPr>
      </w:pPr>
    </w:p>
    <w:p>
      <w:pPr>
        <w:spacing w:line="360" w:lineRule="auto"/>
        <w:jc w:val="center"/>
        <w:rPr>
          <w:rFonts w:ascii="宋体" w:hAnsi="宋体"/>
          <w:b/>
          <w:sz w:val="24"/>
          <w:szCs w:val="24"/>
        </w:rPr>
      </w:pPr>
    </w:p>
    <w:p>
      <w:pPr>
        <w:spacing w:line="360" w:lineRule="auto"/>
        <w:jc w:val="center"/>
        <w:rPr>
          <w:rFonts w:ascii="宋体" w:hAnsi="宋体"/>
          <w:b/>
          <w:sz w:val="24"/>
          <w:szCs w:val="24"/>
        </w:rPr>
      </w:pPr>
    </w:p>
    <w:p>
      <w:pPr>
        <w:autoSpaceDE w:val="0"/>
        <w:autoSpaceDN w:val="0"/>
        <w:adjustRightInd w:val="0"/>
        <w:spacing w:line="360" w:lineRule="auto"/>
        <w:jc w:val="center"/>
        <w:rPr>
          <w:rFonts w:ascii="宋体" w:hAnsi="宋体"/>
          <w:b/>
          <w:sz w:val="24"/>
          <w:szCs w:val="24"/>
        </w:rPr>
      </w:pPr>
    </w:p>
    <w:p>
      <w:pPr>
        <w:jc w:val="center"/>
        <w:rPr>
          <w:rFonts w:ascii="宋体" w:hAnsi="宋体"/>
          <w:b/>
          <w:sz w:val="36"/>
          <w:szCs w:val="36"/>
        </w:rPr>
      </w:pPr>
      <w:r>
        <w:rPr>
          <w:rFonts w:hint="eastAsia" w:ascii="宋体" w:hAnsi="宋体"/>
          <w:b/>
          <w:sz w:val="36"/>
          <w:szCs w:val="36"/>
        </w:rPr>
        <w:t>青岛钢铁有限公司城市钢厂环保搬迁</w:t>
      </w:r>
    </w:p>
    <w:p>
      <w:pPr>
        <w:jc w:val="center"/>
        <w:rPr>
          <w:rFonts w:ascii="宋体" w:hAnsi="宋体"/>
          <w:b/>
          <w:spacing w:val="-20"/>
          <w:sz w:val="36"/>
          <w:szCs w:val="36"/>
        </w:rPr>
      </w:pPr>
      <w:r>
        <w:rPr>
          <w:rFonts w:hint="eastAsia" w:ascii="宋体" w:hAnsi="宋体"/>
          <w:b/>
          <w:sz w:val="36"/>
          <w:szCs w:val="36"/>
        </w:rPr>
        <w:t>4#高线搬迁</w:t>
      </w:r>
      <w:r>
        <w:rPr>
          <w:rFonts w:hint="eastAsia" w:ascii="宋体" w:hAnsi="宋体"/>
          <w:b/>
          <w:spacing w:val="-20"/>
          <w:sz w:val="36"/>
          <w:szCs w:val="36"/>
        </w:rPr>
        <w:t>工程立式卷芯棒系统</w:t>
      </w:r>
    </w:p>
    <w:p>
      <w:pPr>
        <w:jc w:val="center"/>
        <w:rPr>
          <w:rFonts w:ascii="宋体" w:hAnsi="宋体"/>
          <w:b/>
          <w:spacing w:val="-20"/>
          <w:sz w:val="36"/>
          <w:szCs w:val="36"/>
        </w:rPr>
      </w:pPr>
      <w:r>
        <w:rPr>
          <w:rFonts w:hint="eastAsia" w:ascii="宋体" w:hAnsi="宋体"/>
          <w:b/>
          <w:spacing w:val="-20"/>
          <w:sz w:val="36"/>
          <w:szCs w:val="36"/>
        </w:rPr>
        <w:t>电气安装调试服务项目</w:t>
      </w:r>
    </w:p>
    <w:p>
      <w:pPr>
        <w:rPr>
          <w:rFonts w:ascii="宋体" w:hAnsi="宋体"/>
          <w:b/>
          <w:spacing w:val="-20"/>
          <w:sz w:val="36"/>
          <w:szCs w:val="36"/>
        </w:rPr>
      </w:pPr>
    </w:p>
    <w:p>
      <w:pPr>
        <w:spacing w:line="360" w:lineRule="auto"/>
        <w:jc w:val="center"/>
        <w:rPr>
          <w:rFonts w:ascii="宋体" w:hAnsi="宋体"/>
          <w:b/>
          <w:sz w:val="44"/>
          <w:szCs w:val="44"/>
        </w:rPr>
      </w:pPr>
    </w:p>
    <w:p>
      <w:pPr>
        <w:autoSpaceDE w:val="0"/>
        <w:autoSpaceDN w:val="0"/>
        <w:adjustRightInd w:val="0"/>
        <w:spacing w:line="360" w:lineRule="auto"/>
        <w:jc w:val="center"/>
        <w:rPr>
          <w:rFonts w:ascii="宋体" w:hAnsi="宋体"/>
          <w:b/>
          <w:sz w:val="44"/>
          <w:szCs w:val="44"/>
        </w:rPr>
      </w:pPr>
    </w:p>
    <w:p>
      <w:pPr>
        <w:pStyle w:val="10"/>
        <w:spacing w:line="360" w:lineRule="auto"/>
        <w:jc w:val="center"/>
        <w:rPr>
          <w:rFonts w:hAnsi="宋体"/>
          <w:sz w:val="44"/>
          <w:szCs w:val="44"/>
        </w:rPr>
      </w:pPr>
    </w:p>
    <w:p>
      <w:pPr>
        <w:pStyle w:val="10"/>
        <w:spacing w:line="360" w:lineRule="auto"/>
        <w:jc w:val="center"/>
        <w:rPr>
          <w:rFonts w:hAnsi="宋体"/>
          <w:sz w:val="44"/>
          <w:szCs w:val="44"/>
        </w:rPr>
      </w:pPr>
    </w:p>
    <w:p>
      <w:pPr>
        <w:pStyle w:val="10"/>
        <w:spacing w:line="360" w:lineRule="auto"/>
        <w:jc w:val="center"/>
        <w:rPr>
          <w:rFonts w:hAnsi="宋体"/>
          <w:sz w:val="84"/>
          <w:szCs w:val="84"/>
        </w:rPr>
      </w:pPr>
    </w:p>
    <w:p>
      <w:pPr>
        <w:pStyle w:val="10"/>
        <w:spacing w:line="360" w:lineRule="auto"/>
        <w:jc w:val="center"/>
        <w:rPr>
          <w:rFonts w:hAnsi="宋体"/>
          <w:b/>
          <w:spacing w:val="40"/>
          <w:sz w:val="72"/>
          <w:szCs w:val="72"/>
        </w:rPr>
      </w:pPr>
      <w:r>
        <w:rPr>
          <w:rFonts w:hAnsi="宋体"/>
          <w:b/>
          <w:spacing w:val="40"/>
          <w:sz w:val="72"/>
          <w:szCs w:val="72"/>
        </w:rPr>
        <w:t>招 标 文 件</w:t>
      </w:r>
    </w:p>
    <w:p>
      <w:pPr>
        <w:spacing w:line="360" w:lineRule="auto"/>
        <w:jc w:val="center"/>
        <w:rPr>
          <w:rFonts w:ascii="宋体" w:hAnsi="宋体"/>
          <w:sz w:val="84"/>
          <w:szCs w:val="84"/>
        </w:rPr>
      </w:pPr>
    </w:p>
    <w:p>
      <w:pPr>
        <w:spacing w:line="360" w:lineRule="auto"/>
        <w:jc w:val="center"/>
        <w:rPr>
          <w:rFonts w:ascii="宋体" w:hAnsi="宋体"/>
          <w:sz w:val="84"/>
          <w:szCs w:val="84"/>
        </w:rPr>
      </w:pPr>
    </w:p>
    <w:p>
      <w:pPr>
        <w:spacing w:line="360" w:lineRule="auto"/>
        <w:ind w:right="-506" w:rightChars="-241" w:firstLine="1980" w:firstLineChars="550"/>
        <w:rPr>
          <w:rFonts w:ascii="宋体" w:hAnsi="宋体"/>
          <w:kern w:val="0"/>
          <w:sz w:val="36"/>
          <w:szCs w:val="36"/>
        </w:rPr>
      </w:pPr>
      <w:r>
        <w:rPr>
          <w:rFonts w:ascii="宋体" w:hAnsi="宋体"/>
          <w:kern w:val="0"/>
          <w:sz w:val="36"/>
          <w:szCs w:val="36"/>
        </w:rPr>
        <w:t>招 标 人：</w:t>
      </w:r>
      <w:r>
        <w:rPr>
          <w:rFonts w:hint="eastAsia" w:ascii="宋体" w:hAnsi="宋体"/>
          <w:kern w:val="0"/>
          <w:sz w:val="36"/>
          <w:szCs w:val="36"/>
        </w:rPr>
        <w:t>青岛特殊钢铁有限公司</w:t>
      </w:r>
    </w:p>
    <w:p>
      <w:pPr>
        <w:tabs>
          <w:tab w:val="left" w:pos="-32"/>
        </w:tabs>
        <w:spacing w:line="360" w:lineRule="auto"/>
        <w:jc w:val="center"/>
        <w:rPr>
          <w:rFonts w:ascii="宋体" w:hAnsi="宋体"/>
          <w:b/>
          <w:sz w:val="36"/>
          <w:szCs w:val="36"/>
        </w:rPr>
      </w:pPr>
      <w:r>
        <w:rPr>
          <w:rFonts w:hint="eastAsia" w:ascii="宋体" w:hAnsi="宋体"/>
          <w:b/>
          <w:sz w:val="36"/>
          <w:szCs w:val="36"/>
        </w:rPr>
        <w:t xml:space="preserve">   二○一六年四月</w:t>
      </w:r>
    </w:p>
    <w:p>
      <w:pPr>
        <w:tabs>
          <w:tab w:val="left" w:pos="-32"/>
        </w:tabs>
        <w:spacing w:line="360" w:lineRule="auto"/>
        <w:rPr>
          <w:rFonts w:ascii="宋体" w:hAnsi="宋体"/>
          <w:b/>
          <w:sz w:val="36"/>
          <w:szCs w:val="36"/>
        </w:rPr>
      </w:pPr>
      <w:r>
        <w:rPr>
          <w:rFonts w:ascii="宋体" w:hAnsi="宋体"/>
          <w:b/>
          <w:sz w:val="36"/>
          <w:szCs w:val="36"/>
        </w:rPr>
        <w:br w:type="page"/>
      </w:r>
    </w:p>
    <w:p>
      <w:pPr>
        <w:autoSpaceDE w:val="0"/>
        <w:autoSpaceDN w:val="0"/>
        <w:adjustRightInd w:val="0"/>
        <w:snapToGrid w:val="0"/>
        <w:spacing w:line="360" w:lineRule="auto"/>
        <w:jc w:val="center"/>
        <w:rPr>
          <w:rFonts w:ascii="宋体" w:hAnsi="宋体" w:cs="MingLiU"/>
          <w:b/>
          <w:kern w:val="0"/>
          <w:sz w:val="52"/>
          <w:szCs w:val="52"/>
        </w:rPr>
      </w:pPr>
      <w:r>
        <w:rPr>
          <w:rFonts w:hint="eastAsia" w:ascii="宋体" w:hAnsi="宋体" w:cs="MingLiU"/>
          <w:b/>
          <w:kern w:val="0"/>
          <w:sz w:val="52"/>
          <w:szCs w:val="52"/>
        </w:rPr>
        <w:t>目　　录</w:t>
      </w:r>
    </w:p>
    <w:p>
      <w:pPr>
        <w:tabs>
          <w:tab w:val="left" w:pos="-32"/>
        </w:tabs>
        <w:spacing w:line="360" w:lineRule="auto"/>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第一章、招标公告</w:t>
      </w:r>
      <w:r>
        <w:rPr>
          <w:rFonts w:ascii="宋体" w:hAnsi="宋体"/>
          <w:b/>
          <w:sz w:val="24"/>
          <w:szCs w:val="24"/>
        </w:rPr>
        <w:t>………………………………</w:t>
      </w:r>
      <w:r>
        <w:rPr>
          <w:rFonts w:hint="eastAsia" w:ascii="宋体" w:hAnsi="宋体"/>
          <w:b/>
          <w:sz w:val="24"/>
          <w:szCs w:val="24"/>
        </w:rPr>
        <w:t xml:space="preserve"> </w:t>
      </w:r>
      <w:r>
        <w:rPr>
          <w:rFonts w:ascii="宋体" w:hAnsi="宋体"/>
          <w:b/>
          <w:sz w:val="24"/>
          <w:szCs w:val="24"/>
        </w:rPr>
        <w:t>……</w:t>
      </w:r>
      <w:r>
        <w:rPr>
          <w:rFonts w:hint="eastAsia" w:ascii="宋体" w:hAnsi="宋体"/>
          <w:b/>
          <w:sz w:val="24"/>
          <w:szCs w:val="24"/>
        </w:rPr>
        <w:t xml:space="preserve">  </w:t>
      </w:r>
      <w:r>
        <w:rPr>
          <w:rFonts w:ascii="宋体" w:hAnsi="宋体"/>
          <w:b/>
          <w:sz w:val="24"/>
          <w:szCs w:val="24"/>
        </w:rPr>
        <w:t>………</w:t>
      </w:r>
      <w:r>
        <w:rPr>
          <w:rFonts w:hint="eastAsia" w:ascii="宋体" w:hAnsi="宋体"/>
          <w:b/>
          <w:sz w:val="24"/>
          <w:szCs w:val="24"/>
        </w:rPr>
        <w:t xml:space="preserve"> 2-3页</w:t>
      </w:r>
    </w:p>
    <w:p>
      <w:pPr>
        <w:tabs>
          <w:tab w:val="left" w:pos="-32"/>
        </w:tabs>
        <w:spacing w:line="360" w:lineRule="auto"/>
        <w:jc w:val="center"/>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第二章、招标人须知</w:t>
      </w:r>
      <w:r>
        <w:rPr>
          <w:rFonts w:ascii="宋体" w:hAnsi="宋体"/>
          <w:b/>
          <w:sz w:val="24"/>
          <w:szCs w:val="24"/>
        </w:rPr>
        <w:t>…………………………………</w:t>
      </w:r>
      <w:r>
        <w:rPr>
          <w:rFonts w:hint="eastAsia" w:ascii="宋体" w:hAnsi="宋体"/>
          <w:b/>
          <w:sz w:val="24"/>
          <w:szCs w:val="24"/>
        </w:rPr>
        <w:t xml:space="preserve">  </w:t>
      </w:r>
      <w:r>
        <w:rPr>
          <w:rFonts w:ascii="宋体" w:hAnsi="宋体"/>
          <w:b/>
          <w:sz w:val="24"/>
          <w:szCs w:val="24"/>
        </w:rPr>
        <w:t>…………</w:t>
      </w:r>
      <w:r>
        <w:rPr>
          <w:rFonts w:hint="eastAsia" w:ascii="宋体" w:hAnsi="宋体"/>
          <w:b/>
          <w:sz w:val="24"/>
          <w:szCs w:val="24"/>
        </w:rPr>
        <w:t>4-12页</w:t>
      </w:r>
    </w:p>
    <w:p>
      <w:pPr>
        <w:tabs>
          <w:tab w:val="left" w:pos="-32"/>
        </w:tabs>
        <w:spacing w:line="360" w:lineRule="auto"/>
        <w:jc w:val="center"/>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第三章、招标项目服务内容及要求</w:t>
      </w:r>
      <w:r>
        <w:rPr>
          <w:rFonts w:ascii="宋体" w:hAnsi="宋体"/>
          <w:b/>
          <w:sz w:val="24"/>
          <w:szCs w:val="24"/>
        </w:rPr>
        <w:t>……………………………</w:t>
      </w:r>
      <w:r>
        <w:rPr>
          <w:rFonts w:hint="eastAsia" w:ascii="宋体" w:hAnsi="宋体"/>
          <w:b/>
          <w:sz w:val="24"/>
          <w:szCs w:val="24"/>
        </w:rPr>
        <w:t xml:space="preserve"> 13-15页</w:t>
      </w:r>
    </w:p>
    <w:p>
      <w:pPr>
        <w:tabs>
          <w:tab w:val="left" w:pos="-32"/>
        </w:tabs>
        <w:spacing w:line="360" w:lineRule="auto"/>
        <w:jc w:val="center"/>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第四章、开标、评标和定标</w:t>
      </w:r>
      <w:r>
        <w:rPr>
          <w:rFonts w:ascii="宋体" w:hAnsi="宋体"/>
          <w:b/>
          <w:sz w:val="24"/>
          <w:szCs w:val="24"/>
        </w:rPr>
        <w:t>……………………………………</w:t>
      </w:r>
      <w:r>
        <w:rPr>
          <w:rFonts w:hint="eastAsia" w:ascii="宋体" w:hAnsi="宋体"/>
          <w:b/>
          <w:sz w:val="24"/>
          <w:szCs w:val="24"/>
        </w:rPr>
        <w:t xml:space="preserve"> 16-18页</w:t>
      </w:r>
    </w:p>
    <w:p>
      <w:pPr>
        <w:tabs>
          <w:tab w:val="left" w:pos="-32"/>
        </w:tabs>
        <w:spacing w:line="360" w:lineRule="auto"/>
        <w:jc w:val="center"/>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第五章、授予合同</w:t>
      </w:r>
      <w:r>
        <w:rPr>
          <w:rFonts w:ascii="宋体" w:hAnsi="宋体"/>
          <w:b/>
          <w:sz w:val="24"/>
          <w:szCs w:val="24"/>
        </w:rPr>
        <w:t>………………………………………………</w:t>
      </w:r>
      <w:r>
        <w:rPr>
          <w:rFonts w:hint="eastAsia" w:ascii="宋体" w:hAnsi="宋体"/>
          <w:b/>
          <w:sz w:val="24"/>
          <w:szCs w:val="24"/>
        </w:rPr>
        <w:t xml:space="preserve"> 19-20页</w:t>
      </w:r>
    </w:p>
    <w:p>
      <w:pPr>
        <w:tabs>
          <w:tab w:val="left" w:pos="-32"/>
        </w:tabs>
        <w:spacing w:line="360" w:lineRule="auto"/>
        <w:jc w:val="center"/>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第六章、合同文本</w:t>
      </w:r>
      <w:r>
        <w:rPr>
          <w:rFonts w:ascii="宋体" w:hAnsi="宋体"/>
          <w:b/>
          <w:sz w:val="24"/>
          <w:szCs w:val="24"/>
        </w:rPr>
        <w:t>………………………………………………</w:t>
      </w:r>
      <w:r>
        <w:rPr>
          <w:rFonts w:hint="eastAsia" w:ascii="宋体" w:hAnsi="宋体"/>
          <w:b/>
          <w:sz w:val="24"/>
          <w:szCs w:val="24"/>
        </w:rPr>
        <w:t xml:space="preserve">  21-29页</w:t>
      </w:r>
    </w:p>
    <w:p>
      <w:pPr>
        <w:tabs>
          <w:tab w:val="left" w:pos="-32"/>
        </w:tabs>
        <w:spacing w:line="360" w:lineRule="auto"/>
        <w:jc w:val="center"/>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第七章、法律与保密</w:t>
      </w:r>
      <w:r>
        <w:rPr>
          <w:rFonts w:ascii="宋体" w:hAnsi="宋体"/>
          <w:b/>
          <w:sz w:val="24"/>
          <w:szCs w:val="24"/>
        </w:rPr>
        <w:t>……………………………………………</w:t>
      </w:r>
      <w:r>
        <w:rPr>
          <w:rFonts w:hint="eastAsia" w:ascii="宋体" w:hAnsi="宋体"/>
          <w:b/>
          <w:sz w:val="24"/>
          <w:szCs w:val="24"/>
        </w:rPr>
        <w:t xml:space="preserve">  30页</w:t>
      </w:r>
    </w:p>
    <w:p>
      <w:pPr>
        <w:tabs>
          <w:tab w:val="left" w:pos="-32"/>
        </w:tabs>
        <w:spacing w:line="360" w:lineRule="auto"/>
        <w:jc w:val="center"/>
        <w:rPr>
          <w:rFonts w:ascii="宋体" w:hAnsi="宋体"/>
          <w:b/>
          <w:sz w:val="24"/>
          <w:szCs w:val="24"/>
        </w:rPr>
      </w:pPr>
    </w:p>
    <w:p>
      <w:pPr>
        <w:tabs>
          <w:tab w:val="left" w:pos="-32"/>
        </w:tabs>
        <w:spacing w:line="360" w:lineRule="auto"/>
        <w:rPr>
          <w:rFonts w:ascii="宋体" w:hAnsi="宋体"/>
          <w:b/>
          <w:sz w:val="24"/>
          <w:szCs w:val="24"/>
        </w:rPr>
      </w:pPr>
      <w:r>
        <w:rPr>
          <w:rFonts w:hint="eastAsia" w:ascii="宋体" w:hAnsi="宋体"/>
          <w:b/>
          <w:sz w:val="24"/>
          <w:szCs w:val="24"/>
        </w:rPr>
        <w:t xml:space="preserve">      第八章、招标文件相关格式附件</w:t>
      </w:r>
      <w:r>
        <w:rPr>
          <w:rFonts w:ascii="宋体" w:hAnsi="宋体"/>
          <w:b/>
          <w:sz w:val="24"/>
          <w:szCs w:val="24"/>
        </w:rPr>
        <w:t>………………………………</w:t>
      </w:r>
      <w:r>
        <w:rPr>
          <w:rFonts w:hint="eastAsia" w:ascii="宋体" w:hAnsi="宋体"/>
          <w:b/>
          <w:sz w:val="24"/>
          <w:szCs w:val="24"/>
        </w:rPr>
        <w:t xml:space="preserve">  31-37页</w:t>
      </w:r>
      <w:bookmarkStart w:id="0" w:name="_Toc325046363"/>
    </w:p>
    <w:p>
      <w:pPr>
        <w:tabs>
          <w:tab w:val="left" w:pos="-32"/>
        </w:tabs>
        <w:spacing w:line="360" w:lineRule="auto"/>
        <w:ind w:firstLine="823" w:firstLineChars="392"/>
        <w:jc w:val="center"/>
        <w:rPr>
          <w:sz w:val="30"/>
          <w:szCs w:val="30"/>
          <w:u w:val="single"/>
        </w:rPr>
      </w:pPr>
      <w:r>
        <w:br w:type="page"/>
      </w:r>
      <w:r>
        <w:rPr>
          <w:rFonts w:hint="eastAsia"/>
          <w:sz w:val="30"/>
          <w:szCs w:val="30"/>
        </w:rPr>
        <w:t>第一章 招标公告</w:t>
      </w:r>
    </w:p>
    <w:p>
      <w:pPr>
        <w:adjustRightInd w:val="0"/>
        <w:snapToGrid w:val="0"/>
        <w:spacing w:line="520" w:lineRule="exact"/>
        <w:ind w:firstLine="480" w:firstLineChars="200"/>
        <w:rPr>
          <w:rFonts w:ascii="宋体" w:hAnsi="宋体"/>
          <w:sz w:val="24"/>
        </w:rPr>
      </w:pPr>
      <w:bookmarkStart w:id="1" w:name="_Toc228772445"/>
      <w:bookmarkStart w:id="2" w:name="_Toc277598611"/>
      <w:bookmarkStart w:id="3" w:name="_Toc365967297"/>
      <w:bookmarkStart w:id="4" w:name="_Toc200359238"/>
      <w:bookmarkStart w:id="5" w:name="_Toc200359427"/>
      <w:r>
        <w:rPr>
          <w:rFonts w:hint="eastAsia" w:ascii="宋体" w:hAnsi="宋体"/>
          <w:sz w:val="24"/>
          <w:szCs w:val="24"/>
          <w:u w:val="single"/>
        </w:rPr>
        <w:t>青岛钢铁有限公司城市钢厂环保搬迁4#高线搬迁工程立式卷芯棒系统电气设备的安装调试服务项目</w:t>
      </w:r>
      <w:r>
        <w:rPr>
          <w:rFonts w:hint="eastAsia" w:ascii="宋体" w:hAnsi="宋体"/>
          <w:sz w:val="24"/>
        </w:rPr>
        <w:t>准备工作已经就绪，现对该项目进行公开招标。有关事宜公告如下：</w:t>
      </w:r>
    </w:p>
    <w:p>
      <w:pPr>
        <w:adjustRightInd w:val="0"/>
        <w:snapToGrid w:val="0"/>
        <w:spacing w:line="520" w:lineRule="exact"/>
        <w:ind w:firstLine="480" w:firstLineChars="200"/>
        <w:rPr>
          <w:rFonts w:ascii="宋体" w:hAnsi="宋体"/>
          <w:sz w:val="24"/>
        </w:rPr>
      </w:pPr>
      <w:r>
        <w:rPr>
          <w:rFonts w:hint="eastAsia" w:ascii="宋体" w:hAnsi="宋体"/>
          <w:sz w:val="24"/>
        </w:rPr>
        <w:t>一、工程概况</w:t>
      </w:r>
    </w:p>
    <w:p>
      <w:pPr>
        <w:adjustRightInd w:val="0"/>
        <w:snapToGrid w:val="0"/>
        <w:spacing w:line="520" w:lineRule="exact"/>
        <w:ind w:firstLine="480" w:firstLineChars="200"/>
        <w:rPr>
          <w:rFonts w:ascii="宋体" w:hAnsi="宋体"/>
          <w:sz w:val="24"/>
          <w:u w:val="single"/>
        </w:rPr>
      </w:pPr>
      <w:r>
        <w:rPr>
          <w:rFonts w:hint="eastAsia" w:ascii="宋体" w:hAnsi="宋体"/>
          <w:sz w:val="24"/>
        </w:rPr>
        <w:t>1、招 标 人</w:t>
      </w:r>
      <w:r>
        <w:rPr>
          <w:rFonts w:hint="eastAsia" w:ascii="宋体" w:hAnsi="宋体"/>
          <w:sz w:val="24"/>
          <w:u w:val="single"/>
        </w:rPr>
        <w:t>：青岛特殊钢铁有限公司。</w:t>
      </w:r>
    </w:p>
    <w:p>
      <w:pPr>
        <w:adjustRightInd w:val="0"/>
        <w:snapToGrid w:val="0"/>
        <w:spacing w:line="520" w:lineRule="exact"/>
        <w:ind w:firstLine="480" w:firstLineChars="200"/>
        <w:rPr>
          <w:rFonts w:ascii="宋体" w:hAnsi="宋体"/>
          <w:sz w:val="24"/>
          <w:szCs w:val="24"/>
          <w:u w:val="single"/>
        </w:rPr>
      </w:pPr>
      <w:r>
        <w:rPr>
          <w:rFonts w:hint="eastAsia" w:ascii="宋体" w:hAnsi="宋体"/>
          <w:sz w:val="24"/>
        </w:rPr>
        <w:t>2、招标内容：</w:t>
      </w:r>
      <w:r>
        <w:rPr>
          <w:rFonts w:hint="eastAsia" w:ascii="宋体" w:hAnsi="宋体"/>
          <w:sz w:val="24"/>
          <w:szCs w:val="24"/>
          <w:u w:val="single"/>
        </w:rPr>
        <w:t> 本招标技术服务范围是青钢4#高线立式卷芯棒系统（原瑞典森德斯公司设计，国内生产）设备和电气系统设计、安装调试、工艺调试、性能考核的技术指导服务。</w:t>
      </w:r>
    </w:p>
    <w:p>
      <w:pPr>
        <w:adjustRightInd w:val="0"/>
        <w:snapToGrid w:val="0"/>
        <w:spacing w:line="520" w:lineRule="exact"/>
        <w:ind w:firstLine="480" w:firstLineChars="200"/>
        <w:rPr>
          <w:sz w:val="24"/>
          <w:szCs w:val="24"/>
        </w:rPr>
      </w:pPr>
      <w:r>
        <w:rPr>
          <w:rFonts w:hint="eastAsia"/>
          <w:sz w:val="24"/>
          <w:szCs w:val="24"/>
        </w:rPr>
        <w:t xml:space="preserve">3、工程地址：              </w:t>
      </w:r>
    </w:p>
    <w:p>
      <w:pPr>
        <w:adjustRightInd w:val="0"/>
        <w:snapToGrid w:val="0"/>
        <w:spacing w:line="520" w:lineRule="exact"/>
        <w:ind w:firstLine="480" w:firstLineChars="200"/>
        <w:rPr>
          <w:rFonts w:ascii="宋体" w:hAnsi="宋体"/>
          <w:sz w:val="24"/>
          <w:u w:val="single"/>
        </w:rPr>
      </w:pPr>
      <w:r>
        <w:rPr>
          <w:rFonts w:hint="eastAsia"/>
          <w:sz w:val="24"/>
          <w:szCs w:val="24"/>
          <w:u w:val="single"/>
        </w:rPr>
        <w:t xml:space="preserve"> 设备安装：</w:t>
      </w:r>
      <w:r>
        <w:rPr>
          <w:rFonts w:hint="eastAsia" w:ascii="宋体" w:hAnsi="宋体"/>
          <w:sz w:val="24"/>
          <w:szCs w:val="24"/>
          <w:u w:val="single"/>
        </w:rPr>
        <w:t>青岛黄岛区泊里镇集成路1886号</w:t>
      </w:r>
    </w:p>
    <w:p>
      <w:pPr>
        <w:numPr>
          <w:numId w:val="0"/>
        </w:numPr>
        <w:snapToGrid w:val="0"/>
        <w:spacing w:line="360" w:lineRule="auto"/>
        <w:ind w:firstLine="480" w:firstLineChars="200"/>
        <w:rPr>
          <w:rFonts w:ascii="宋体" w:hAnsi="宋体"/>
          <w:sz w:val="24"/>
        </w:rPr>
      </w:pPr>
      <w:r>
        <w:rPr>
          <w:rFonts w:hint="eastAsia" w:ascii="宋体" w:hAnsi="宋体"/>
          <w:sz w:val="24"/>
        </w:rPr>
        <w:t>4、招标方式：公开招标</w:t>
      </w:r>
    </w:p>
    <w:p>
      <w:pPr>
        <w:numPr>
          <w:numId w:val="0"/>
        </w:numPr>
        <w:snapToGrid w:val="0"/>
        <w:spacing w:line="360" w:lineRule="auto"/>
        <w:ind w:firstLine="480" w:firstLineChars="200"/>
        <w:rPr>
          <w:rFonts w:ascii="宋体" w:hAnsi="宋体"/>
          <w:sz w:val="24"/>
        </w:rPr>
      </w:pPr>
      <w:r>
        <w:rPr>
          <w:rFonts w:hint="eastAsia" w:ascii="宋体" w:hAnsi="宋体"/>
          <w:sz w:val="24"/>
        </w:rPr>
        <w:t>5、资金来源：企业自筹</w:t>
      </w:r>
    </w:p>
    <w:p>
      <w:pPr>
        <w:snapToGrid w:val="0"/>
        <w:spacing w:line="360" w:lineRule="auto"/>
        <w:ind w:firstLine="480" w:firstLineChars="200"/>
        <w:rPr>
          <w:rFonts w:ascii="宋体" w:hAnsi="宋体"/>
          <w:sz w:val="24"/>
          <w:szCs w:val="24"/>
          <w:u w:val="single"/>
        </w:rPr>
      </w:pPr>
      <w:r>
        <w:rPr>
          <w:rFonts w:hint="eastAsia" w:ascii="宋体" w:hAnsi="宋体"/>
          <w:sz w:val="24"/>
          <w:u w:val="single"/>
        </w:rPr>
        <w:t>6、标段划分：一个标段。</w:t>
      </w:r>
    </w:p>
    <w:p>
      <w:pPr>
        <w:adjustRightInd w:val="0"/>
        <w:snapToGrid w:val="0"/>
        <w:spacing w:line="360" w:lineRule="auto"/>
        <w:ind w:firstLine="480" w:firstLineChars="200"/>
        <w:rPr>
          <w:rFonts w:ascii="宋体" w:hAnsi="宋体"/>
          <w:sz w:val="24"/>
        </w:rPr>
      </w:pPr>
      <w:r>
        <w:rPr>
          <w:rFonts w:hint="eastAsia" w:ascii="宋体" w:hAnsi="宋体"/>
          <w:sz w:val="24"/>
        </w:rPr>
        <w:t>二</w:t>
      </w:r>
      <w:r>
        <w:rPr>
          <w:rFonts w:ascii="宋体" w:hAnsi="宋体"/>
          <w:sz w:val="24"/>
        </w:rPr>
        <w:t>、对投标人的资质要求</w:t>
      </w:r>
    </w:p>
    <w:p>
      <w:pPr>
        <w:tabs>
          <w:tab w:val="left" w:pos="1050"/>
        </w:tabs>
        <w:adjustRightInd w:val="0"/>
        <w:snapToGrid w:val="0"/>
        <w:spacing w:line="360" w:lineRule="auto"/>
        <w:ind w:firstLine="600" w:firstLineChars="250"/>
        <w:rPr>
          <w:rFonts w:ascii="宋体" w:hAnsi="宋体"/>
          <w:sz w:val="24"/>
        </w:rPr>
      </w:pPr>
      <w:r>
        <w:rPr>
          <w:rFonts w:hint="eastAsia" w:ascii="宋体" w:hAnsi="宋体"/>
          <w:sz w:val="24"/>
        </w:rPr>
        <w:t xml:space="preserve">1. </w:t>
      </w:r>
      <w:r>
        <w:rPr>
          <w:rFonts w:ascii="宋体" w:hAnsi="宋体"/>
          <w:sz w:val="24"/>
        </w:rPr>
        <w:t>投标人必须具备独立法人资格，能够独立承担法律责任，有固定的办公场所，有满足标书要求的服务能力；</w:t>
      </w:r>
    </w:p>
    <w:p>
      <w:pPr>
        <w:tabs>
          <w:tab w:val="left" w:pos="1050"/>
        </w:tabs>
        <w:adjustRightInd w:val="0"/>
        <w:snapToGrid w:val="0"/>
        <w:spacing w:line="360" w:lineRule="auto"/>
        <w:ind w:firstLine="600" w:firstLineChars="250"/>
        <w:rPr>
          <w:rFonts w:ascii="宋体" w:hAnsi="宋体"/>
          <w:sz w:val="24"/>
        </w:rPr>
      </w:pPr>
      <w:r>
        <w:rPr>
          <w:rFonts w:hint="eastAsia" w:ascii="宋体" w:hAnsi="宋体"/>
          <w:sz w:val="24"/>
        </w:rPr>
        <w:t xml:space="preserve">2.  </w:t>
      </w:r>
      <w:r>
        <w:rPr>
          <w:rFonts w:ascii="宋体" w:hAnsi="宋体"/>
          <w:sz w:val="24"/>
        </w:rPr>
        <w:t>具有良好的商业信誉和健全的内部管理制度；</w:t>
      </w:r>
    </w:p>
    <w:p>
      <w:pPr>
        <w:tabs>
          <w:tab w:val="left" w:pos="1050"/>
        </w:tabs>
        <w:adjustRightInd w:val="0"/>
        <w:snapToGrid w:val="0"/>
        <w:spacing w:line="360" w:lineRule="auto"/>
        <w:ind w:firstLine="600" w:firstLineChars="250"/>
        <w:rPr>
          <w:rFonts w:ascii="宋体" w:hAnsi="宋体"/>
          <w:sz w:val="24"/>
        </w:rPr>
      </w:pPr>
      <w:r>
        <w:rPr>
          <w:rFonts w:hint="eastAsia" w:ascii="宋体" w:hAnsi="宋体"/>
          <w:sz w:val="24"/>
        </w:rPr>
        <w:t xml:space="preserve">3. </w:t>
      </w:r>
      <w:r>
        <w:rPr>
          <w:rFonts w:ascii="宋体" w:hAnsi="宋体"/>
          <w:sz w:val="24"/>
        </w:rPr>
        <w:t>具有履行</w:t>
      </w:r>
      <w:r>
        <w:rPr>
          <w:rFonts w:hint="eastAsia" w:ascii="宋体" w:hAnsi="宋体"/>
          <w:sz w:val="24"/>
        </w:rPr>
        <w:t>招标内容</w:t>
      </w:r>
      <w:r>
        <w:rPr>
          <w:rFonts w:ascii="宋体" w:hAnsi="宋体"/>
          <w:sz w:val="24"/>
        </w:rPr>
        <w:t>所必需的专业技术能力</w:t>
      </w:r>
      <w:r>
        <w:rPr>
          <w:rFonts w:hint="eastAsia" w:ascii="宋体" w:hAnsi="宋体"/>
          <w:sz w:val="24"/>
        </w:rPr>
        <w:t>，自2009年1月1日至今具有同类技术服务业绩三个及以上，需提供合同原件；</w:t>
      </w:r>
    </w:p>
    <w:p>
      <w:pPr>
        <w:tabs>
          <w:tab w:val="left" w:pos="1050"/>
        </w:tabs>
        <w:adjustRightInd w:val="0"/>
        <w:snapToGrid w:val="0"/>
        <w:spacing w:line="360" w:lineRule="auto"/>
        <w:ind w:firstLine="600" w:firstLineChars="250"/>
        <w:rPr>
          <w:rFonts w:ascii="宋体" w:hAnsi="宋体"/>
          <w:sz w:val="24"/>
        </w:rPr>
      </w:pPr>
      <w:r>
        <w:rPr>
          <w:rFonts w:hint="eastAsia" w:ascii="宋体" w:hAnsi="宋体"/>
          <w:sz w:val="24"/>
        </w:rPr>
        <w:t xml:space="preserve">4. </w:t>
      </w:r>
      <w:r>
        <w:rPr>
          <w:rFonts w:hint="eastAsia"/>
          <w:sz w:val="24"/>
        </w:rPr>
        <w:t>在中国有完善的售后服务和及时提供技术支持的能力；</w:t>
      </w:r>
    </w:p>
    <w:p>
      <w:pPr>
        <w:tabs>
          <w:tab w:val="left" w:pos="1050"/>
        </w:tabs>
        <w:adjustRightInd w:val="0"/>
        <w:snapToGrid w:val="0"/>
        <w:spacing w:line="360" w:lineRule="auto"/>
        <w:ind w:firstLine="600" w:firstLineChars="250"/>
        <w:rPr>
          <w:rFonts w:ascii="宋体" w:hAnsi="宋体"/>
          <w:sz w:val="24"/>
        </w:rPr>
      </w:pPr>
      <w:r>
        <w:rPr>
          <w:rFonts w:hint="eastAsia" w:ascii="宋体" w:hAnsi="宋体"/>
          <w:sz w:val="24"/>
        </w:rPr>
        <w:t xml:space="preserve">5. </w:t>
      </w:r>
      <w:r>
        <w:rPr>
          <w:rFonts w:ascii="宋体" w:hAnsi="宋体"/>
          <w:sz w:val="24"/>
        </w:rPr>
        <w:t>在以往的经营活动中，遵守法律、法规和</w:t>
      </w:r>
      <w:r>
        <w:rPr>
          <w:rFonts w:hint="eastAsia" w:ascii="宋体" w:hAnsi="宋体"/>
          <w:sz w:val="24"/>
        </w:rPr>
        <w:t>地方的</w:t>
      </w:r>
      <w:r>
        <w:rPr>
          <w:rFonts w:ascii="宋体" w:hAnsi="宋体"/>
          <w:sz w:val="24"/>
        </w:rPr>
        <w:t>的相关规定，恪守职业道德，遵循职业规范，没有不良记录</w:t>
      </w:r>
      <w:r>
        <w:rPr>
          <w:rFonts w:hint="eastAsia" w:ascii="宋体" w:hAnsi="宋体"/>
          <w:sz w:val="24"/>
        </w:rPr>
        <w:t>，在业内有过不良记录及与青钢合作的过程中有过劣迹影响的，招标方有权拒绝参加本次竞标</w:t>
      </w:r>
      <w:r>
        <w:rPr>
          <w:rFonts w:ascii="宋体" w:hAnsi="宋体"/>
          <w:sz w:val="24"/>
        </w:rPr>
        <w:t>；</w:t>
      </w:r>
    </w:p>
    <w:p>
      <w:pPr>
        <w:tabs>
          <w:tab w:val="left" w:pos="1050"/>
        </w:tabs>
        <w:adjustRightInd w:val="0"/>
        <w:snapToGrid w:val="0"/>
        <w:spacing w:line="360" w:lineRule="auto"/>
        <w:ind w:firstLine="600" w:firstLineChars="250"/>
        <w:rPr>
          <w:rFonts w:ascii="宋体" w:hAnsi="宋体"/>
          <w:sz w:val="24"/>
        </w:rPr>
      </w:pPr>
      <w:r>
        <w:rPr>
          <w:rFonts w:hint="eastAsia" w:ascii="宋体" w:hAnsi="宋体"/>
          <w:sz w:val="24"/>
        </w:rPr>
        <w:t xml:space="preserve">6.  </w:t>
      </w:r>
      <w:r>
        <w:rPr>
          <w:rFonts w:ascii="宋体" w:hAnsi="宋体"/>
          <w:sz w:val="24"/>
        </w:rPr>
        <w:t>本次招标不接受联合体投标。</w:t>
      </w:r>
    </w:p>
    <w:p>
      <w:pPr>
        <w:adjustRightInd w:val="0"/>
        <w:snapToGrid w:val="0"/>
        <w:spacing w:line="460" w:lineRule="exact"/>
        <w:ind w:firstLine="480" w:firstLineChars="200"/>
        <w:rPr>
          <w:rFonts w:ascii="宋体" w:hAnsi="宋体" w:cs="Tahoma"/>
          <w:b/>
          <w:bCs/>
          <w:sz w:val="24"/>
        </w:rPr>
      </w:pPr>
      <w:r>
        <w:rPr>
          <w:rFonts w:hint="eastAsia" w:ascii="宋体" w:hAnsi="宋体"/>
          <w:sz w:val="24"/>
        </w:rPr>
        <w:t>三、需提交的材料:</w:t>
      </w:r>
    </w:p>
    <w:p>
      <w:pPr>
        <w:spacing w:line="460" w:lineRule="exact"/>
        <w:ind w:firstLine="480" w:firstLineChars="200"/>
        <w:rPr>
          <w:rFonts w:ascii="宋体" w:hAnsi="宋体"/>
          <w:sz w:val="24"/>
          <w:szCs w:val="24"/>
        </w:rPr>
      </w:pPr>
      <w:r>
        <w:rPr>
          <w:rFonts w:hint="eastAsia" w:ascii="宋体" w:hAnsi="宋体"/>
          <w:snapToGrid w:val="0"/>
          <w:sz w:val="24"/>
          <w:szCs w:val="24"/>
        </w:rPr>
        <w:t xml:space="preserve">1. </w:t>
      </w:r>
      <w:bookmarkEnd w:id="1"/>
      <w:bookmarkEnd w:id="2"/>
      <w:bookmarkEnd w:id="3"/>
      <w:bookmarkEnd w:id="4"/>
      <w:bookmarkEnd w:id="5"/>
      <w:r>
        <w:rPr>
          <w:rFonts w:hint="eastAsia" w:ascii="宋体" w:hAnsi="宋体" w:cs="宋体"/>
          <w:kern w:val="0"/>
          <w:sz w:val="24"/>
          <w:szCs w:val="24"/>
        </w:rPr>
        <w:t>本工程无须现场或网上报名，实行资格后审制。有意参加本项目投标的且符合投标资格要求的投标人直接于</w:t>
      </w:r>
      <w:r>
        <w:rPr>
          <w:rFonts w:hint="eastAsia" w:ascii="宋体" w:hAnsi="宋体" w:cs="宋体"/>
          <w:kern w:val="0"/>
          <w:sz w:val="24"/>
          <w:szCs w:val="24"/>
          <w:highlight w:val="yellow"/>
        </w:rPr>
        <w:t>2016年5月</w:t>
      </w:r>
      <w:r>
        <w:rPr>
          <w:rFonts w:hint="eastAsia" w:ascii="宋体" w:hAnsi="宋体" w:cs="宋体"/>
          <w:kern w:val="0"/>
          <w:sz w:val="24"/>
          <w:szCs w:val="24"/>
          <w:highlight w:val="yellow"/>
          <w:lang w:val="en-US" w:eastAsia="zh-CN"/>
        </w:rPr>
        <w:t>4</w:t>
      </w:r>
      <w:r>
        <w:rPr>
          <w:rFonts w:hint="eastAsia" w:ascii="宋体" w:hAnsi="宋体" w:cs="宋体"/>
          <w:kern w:val="0"/>
          <w:sz w:val="24"/>
          <w:szCs w:val="24"/>
          <w:highlight w:val="yellow"/>
        </w:rPr>
        <w:t>日9</w:t>
      </w:r>
      <w:r>
        <w:rPr>
          <w:rFonts w:hint="eastAsia" w:ascii="宋体" w:hAnsi="宋体" w:cs="宋体"/>
          <w:kern w:val="0"/>
          <w:sz w:val="24"/>
          <w:szCs w:val="24"/>
          <w:highlight w:val="yellow"/>
          <w:lang w:val="en-US" w:eastAsia="zh-CN"/>
        </w:rPr>
        <w:t>:30</w:t>
      </w:r>
      <w:r>
        <w:rPr>
          <w:rFonts w:hint="eastAsia" w:ascii="宋体" w:hAnsi="宋体" w:cs="宋体"/>
          <w:kern w:val="0"/>
          <w:sz w:val="24"/>
          <w:szCs w:val="24"/>
        </w:rPr>
        <w:t>时到青岛特殊钢铁有限公司市场部开标室（</w:t>
      </w:r>
      <w:r>
        <w:rPr>
          <w:rFonts w:hint="eastAsia" w:ascii="宋体" w:hAnsi="宋体"/>
          <w:sz w:val="24"/>
          <w:szCs w:val="24"/>
        </w:rPr>
        <w:t>青岛黄岛区泊里镇集成路1886号</w:t>
      </w:r>
      <w:r>
        <w:rPr>
          <w:rFonts w:hint="eastAsia" w:ascii="宋体" w:hAnsi="宋体" w:cs="宋体"/>
          <w:kern w:val="0"/>
          <w:sz w:val="24"/>
          <w:szCs w:val="24"/>
        </w:rPr>
        <w:t>）进行开标。开标会现场，应携带以下资料的原件和资格标书进行资格审查（资格审查原件与资格标书中的复印件必须一致，每页加盖公章按下列顺序装订并单独成册），投标文件由投标法定代表人授权代表签署。资格审查材料不合格的，其投标文件为无效投标文件，招标人不予受理。 </w:t>
      </w:r>
    </w:p>
    <w:p>
      <w:pPr>
        <w:spacing w:line="460" w:lineRule="exact"/>
        <w:ind w:firstLine="480" w:firstLineChars="200"/>
        <w:rPr>
          <w:rFonts w:ascii="宋体" w:hAnsi="宋体" w:cs="宋体"/>
          <w:kern w:val="0"/>
          <w:sz w:val="24"/>
          <w:szCs w:val="24"/>
        </w:rPr>
      </w:pPr>
      <w:r>
        <w:rPr>
          <w:rFonts w:hint="eastAsia" w:ascii="宋体" w:hAnsi="宋体" w:cs="宋体"/>
          <w:kern w:val="0"/>
          <w:sz w:val="24"/>
          <w:szCs w:val="24"/>
        </w:rPr>
        <w:t>2. 投标人法定代表人资格证明或法定代表人授权委托书，委托代理人的身份证等；</w:t>
      </w:r>
    </w:p>
    <w:p>
      <w:pPr>
        <w:spacing w:line="460" w:lineRule="exact"/>
        <w:ind w:firstLine="480" w:firstLineChars="200"/>
        <w:rPr>
          <w:rFonts w:ascii="宋体" w:hAnsi="宋体" w:cs="宋体"/>
          <w:kern w:val="0"/>
          <w:sz w:val="24"/>
          <w:szCs w:val="24"/>
        </w:rPr>
      </w:pPr>
      <w:r>
        <w:rPr>
          <w:rFonts w:hint="eastAsia" w:ascii="宋体" w:hAnsi="宋体" w:cs="宋体"/>
          <w:kern w:val="0"/>
          <w:sz w:val="24"/>
          <w:szCs w:val="24"/>
        </w:rPr>
        <w:t>3. 经年检合格的投标人法人营业执照副本、资质证书副本、税务登记证副本； </w:t>
      </w:r>
    </w:p>
    <w:p>
      <w:pPr>
        <w:tabs>
          <w:tab w:val="right" w:pos="9070"/>
        </w:tabs>
        <w:adjustRightInd w:val="0"/>
        <w:snapToGrid w:val="0"/>
        <w:spacing w:line="460" w:lineRule="exact"/>
        <w:ind w:firstLine="480" w:firstLineChars="200"/>
        <w:rPr>
          <w:rFonts w:ascii="宋体" w:hAnsi="宋体"/>
          <w:sz w:val="24"/>
          <w:szCs w:val="24"/>
        </w:rPr>
      </w:pPr>
      <w:r>
        <w:rPr>
          <w:rFonts w:hint="eastAsia" w:ascii="宋体" w:hAnsi="宋体" w:cs="宋体"/>
          <w:kern w:val="0"/>
          <w:sz w:val="24"/>
          <w:szCs w:val="24"/>
        </w:rPr>
        <w:t>4. 投标人</w:t>
      </w:r>
      <w:r>
        <w:rPr>
          <w:rFonts w:hint="eastAsia" w:ascii="宋体" w:hAnsi="宋体"/>
          <w:sz w:val="24"/>
          <w:szCs w:val="24"/>
        </w:rPr>
        <w:t>近六年(</w:t>
      </w:r>
      <w:r>
        <w:rPr>
          <w:rFonts w:hint="eastAsia" w:ascii="宋体" w:hAnsi="宋体"/>
          <w:sz w:val="24"/>
          <w:szCs w:val="24"/>
          <w:u w:val="single"/>
        </w:rPr>
        <w:t>2009</w:t>
      </w:r>
      <w:r>
        <w:rPr>
          <w:rFonts w:hint="eastAsia" w:ascii="宋体" w:hAnsi="宋体"/>
          <w:sz w:val="24"/>
          <w:u w:val="single"/>
        </w:rPr>
        <w:t>年1月1日至今)</w:t>
      </w:r>
      <w:r>
        <w:rPr>
          <w:rFonts w:hint="eastAsia" w:ascii="宋体" w:hAnsi="宋体"/>
          <w:sz w:val="24"/>
          <w:szCs w:val="24"/>
        </w:rPr>
        <w:t>完成的同类工程业绩合同原件；</w:t>
      </w:r>
    </w:p>
    <w:p>
      <w:pPr>
        <w:spacing w:line="520" w:lineRule="exact"/>
        <w:ind w:firstLine="240" w:firstLineChars="100"/>
        <w:rPr>
          <w:rFonts w:ascii="宋体" w:hAnsi="宋体" w:cs="宋体"/>
          <w:kern w:val="0"/>
          <w:sz w:val="24"/>
          <w:szCs w:val="24"/>
        </w:rPr>
      </w:pPr>
      <w:r>
        <w:rPr>
          <w:rFonts w:hint="eastAsia" w:ascii="宋体" w:hAnsi="宋体" w:cs="宋体"/>
          <w:kern w:val="0"/>
          <w:sz w:val="24"/>
          <w:szCs w:val="24"/>
        </w:rPr>
        <w:t>四、其他说明</w:t>
      </w:r>
    </w:p>
    <w:p>
      <w:pPr>
        <w:tabs>
          <w:tab w:val="right" w:pos="9070"/>
        </w:tabs>
        <w:adjustRightInd w:val="0"/>
        <w:snapToGrid w:val="0"/>
        <w:spacing w:line="460" w:lineRule="exact"/>
        <w:ind w:firstLine="480" w:firstLineChars="200"/>
        <w:rPr>
          <w:rFonts w:ascii="宋体" w:hAnsi="宋体" w:cs="宋体"/>
          <w:kern w:val="0"/>
          <w:sz w:val="24"/>
          <w:szCs w:val="24"/>
        </w:rPr>
      </w:pPr>
      <w:r>
        <w:rPr>
          <w:rFonts w:hint="eastAsia" w:ascii="宋体" w:hAnsi="宋体" w:cs="宋体"/>
          <w:kern w:val="0"/>
          <w:sz w:val="24"/>
          <w:szCs w:val="24"/>
        </w:rPr>
        <w:t>1. 本工程只发放电子版招标文件，下载招标文件时间为招标公告同一时间。符合条件的投标人；请到青钢集团招标信息网（bid.qdsteel.com</w:t>
      </w:r>
      <w:r>
        <w:rPr>
          <w:rFonts w:ascii="宋体" w:hAnsi="宋体" w:cs="宋体"/>
          <w:kern w:val="0"/>
          <w:sz w:val="24"/>
          <w:szCs w:val="24"/>
        </w:rPr>
        <w:t>）</w:t>
      </w:r>
      <w:r>
        <w:rPr>
          <w:rFonts w:hint="eastAsia" w:ascii="宋体" w:hAnsi="宋体" w:cs="宋体"/>
          <w:kern w:val="0"/>
          <w:sz w:val="24"/>
          <w:szCs w:val="24"/>
        </w:rPr>
        <w:t>自行下载招标文件。</w:t>
      </w:r>
    </w:p>
    <w:p>
      <w:pPr>
        <w:tabs>
          <w:tab w:val="right" w:pos="9070"/>
        </w:tabs>
        <w:adjustRightInd w:val="0"/>
        <w:snapToGrid w:val="0"/>
        <w:spacing w:line="460" w:lineRule="exact"/>
        <w:ind w:firstLine="480" w:firstLineChars="200"/>
        <w:rPr>
          <w:rFonts w:ascii="宋体" w:hAnsi="宋体" w:cs="宋体"/>
          <w:kern w:val="0"/>
          <w:sz w:val="24"/>
          <w:szCs w:val="24"/>
        </w:rPr>
      </w:pPr>
      <w:r>
        <w:rPr>
          <w:rFonts w:hint="eastAsia" w:ascii="宋体" w:hAnsi="宋体" w:cs="宋体"/>
          <w:kern w:val="0"/>
          <w:sz w:val="24"/>
          <w:szCs w:val="24"/>
        </w:rPr>
        <w:t>2. 参加本项目投标人名单开标时才能获知，若投标截止时间结束后参加投标的投标人达不到法定数量，造成的流标、废标，招标人不承担任何责任，由此产生的费用，均有投标人自行承担。</w:t>
      </w:r>
    </w:p>
    <w:p>
      <w:pPr>
        <w:tabs>
          <w:tab w:val="right" w:pos="9070"/>
        </w:tabs>
        <w:adjustRightInd w:val="0"/>
        <w:snapToGrid w:val="0"/>
        <w:spacing w:line="460" w:lineRule="exact"/>
        <w:ind w:firstLine="480" w:firstLineChars="200"/>
        <w:rPr>
          <w:rFonts w:ascii="宋体" w:hAnsi="宋体" w:cs="宋体"/>
          <w:kern w:val="0"/>
          <w:sz w:val="24"/>
          <w:szCs w:val="24"/>
        </w:rPr>
      </w:pPr>
      <w:r>
        <w:rPr>
          <w:rFonts w:hint="eastAsia" w:ascii="宋体" w:hAnsi="宋体" w:cs="宋体"/>
          <w:kern w:val="0"/>
          <w:sz w:val="24"/>
          <w:szCs w:val="24"/>
        </w:rPr>
        <w:t>3. 投标人的资格审查在开标当日由招标人依法组建的评标委员会于开标之前按照本招标公告的要求进行审查，资格审查不合格的投标人的投标文件不予接受。</w:t>
      </w:r>
    </w:p>
    <w:p>
      <w:pPr>
        <w:tabs>
          <w:tab w:val="right" w:pos="9070"/>
        </w:tabs>
        <w:adjustRightInd w:val="0"/>
        <w:snapToGrid w:val="0"/>
        <w:spacing w:line="460" w:lineRule="exact"/>
        <w:ind w:firstLine="480" w:firstLineChars="200"/>
        <w:rPr>
          <w:rFonts w:ascii="宋体" w:hAnsi="宋体" w:cs="宋体"/>
          <w:kern w:val="0"/>
          <w:sz w:val="24"/>
          <w:szCs w:val="24"/>
        </w:rPr>
      </w:pPr>
      <w:r>
        <w:rPr>
          <w:rFonts w:hint="eastAsia" w:ascii="宋体" w:hAnsi="宋体" w:cs="宋体"/>
          <w:kern w:val="0"/>
          <w:sz w:val="24"/>
          <w:szCs w:val="24"/>
        </w:rPr>
        <w:t>4. 本项目严禁挂靠等不正当方式投标，出现以上以欺诈方式取得中标机会的情况，按国家相关规定进行处罚。同时招标人一经发现将无条件行使单方合同解除权或确认中标无效，保证金不予返还，给招标人造成损失的，还应予以全额赔偿。</w:t>
      </w:r>
    </w:p>
    <w:p>
      <w:pPr>
        <w:tabs>
          <w:tab w:val="right" w:pos="9070"/>
        </w:tabs>
        <w:adjustRightInd w:val="0"/>
        <w:snapToGrid w:val="0"/>
        <w:spacing w:line="460" w:lineRule="exact"/>
        <w:ind w:firstLine="480" w:firstLineChars="200"/>
        <w:rPr>
          <w:rFonts w:ascii="宋体" w:hAnsi="宋体" w:cs="宋体"/>
          <w:kern w:val="0"/>
          <w:sz w:val="24"/>
          <w:szCs w:val="24"/>
        </w:rPr>
      </w:pPr>
      <w:r>
        <w:rPr>
          <w:rFonts w:hint="eastAsia" w:ascii="宋体" w:hAnsi="宋体" w:cs="宋体"/>
          <w:kern w:val="0"/>
          <w:sz w:val="24"/>
          <w:szCs w:val="24"/>
        </w:rPr>
        <w:t>5. 本工程无保密内容，同意上网发布。</w:t>
      </w:r>
    </w:p>
    <w:p>
      <w:pPr>
        <w:spacing w:line="520" w:lineRule="exact"/>
        <w:ind w:firstLine="720" w:firstLineChars="300"/>
        <w:rPr>
          <w:rFonts w:ascii="宋体" w:hAnsi="宋体"/>
          <w:sz w:val="24"/>
          <w:szCs w:val="24"/>
          <w:u w:val="single"/>
        </w:rPr>
      </w:pPr>
      <w:r>
        <w:rPr>
          <w:rFonts w:hint="eastAsia" w:ascii="宋体" w:hAnsi="宋体"/>
          <w:sz w:val="24"/>
          <w:szCs w:val="24"/>
        </w:rPr>
        <w:t>招标单位联系人</w:t>
      </w:r>
      <w:r>
        <w:rPr>
          <w:rFonts w:hint="eastAsia" w:ascii="宋体" w:hAnsi="宋体"/>
          <w:sz w:val="24"/>
          <w:szCs w:val="24"/>
          <w:u w:val="single"/>
        </w:rPr>
        <w:t>　　　程军　　　　　　</w:t>
      </w:r>
      <w:r>
        <w:rPr>
          <w:rFonts w:hint="eastAsia" w:ascii="宋体" w:hAnsi="宋体"/>
          <w:sz w:val="24"/>
          <w:szCs w:val="24"/>
        </w:rPr>
        <w:t>联系电话</w:t>
      </w:r>
      <w:r>
        <w:rPr>
          <w:rFonts w:hint="eastAsia" w:ascii="宋体" w:hAnsi="宋体"/>
          <w:sz w:val="24"/>
          <w:szCs w:val="24"/>
          <w:u w:val="single"/>
        </w:rPr>
        <w:t>　0532-58815032　　　　</w:t>
      </w:r>
    </w:p>
    <w:p>
      <w:pPr>
        <w:spacing w:line="520" w:lineRule="exact"/>
        <w:rPr>
          <w:rFonts w:ascii="宋体" w:hAnsi="宋体"/>
          <w:sz w:val="24"/>
          <w:szCs w:val="24"/>
        </w:rPr>
      </w:pPr>
      <w:r>
        <w:rPr>
          <w:rFonts w:hint="eastAsia" w:ascii="宋体" w:hAnsi="宋体"/>
          <w:sz w:val="24"/>
          <w:szCs w:val="24"/>
        </w:rPr>
        <w:t xml:space="preserve">                                             招标单位（公章）</w:t>
      </w:r>
    </w:p>
    <w:p>
      <w:pPr>
        <w:spacing w:line="520" w:lineRule="exact"/>
        <w:ind w:firstLine="5400" w:firstLineChars="2250"/>
        <w:rPr>
          <w:rFonts w:ascii="宋体" w:hAnsi="宋体"/>
          <w:sz w:val="24"/>
          <w:szCs w:val="24"/>
        </w:rPr>
        <w:sectPr>
          <w:footerReference r:id="rId4" w:type="default"/>
          <w:footerReference r:id="rId5" w:type="even"/>
          <w:pgSz w:w="11906" w:h="16838"/>
          <w:pgMar w:top="1440" w:right="1230" w:bottom="1440" w:left="1230" w:header="851" w:footer="992" w:gutter="0"/>
          <w:pgNumType w:start="0"/>
          <w:cols w:space="720" w:num="1"/>
          <w:titlePg/>
          <w:docGrid w:type="lines" w:linePitch="312" w:charSpace="0"/>
        </w:sectPr>
      </w:pPr>
      <w:r>
        <w:rPr>
          <w:rFonts w:hint="eastAsia" w:ascii="宋体" w:hAnsi="宋体"/>
          <w:sz w:val="24"/>
          <w:szCs w:val="24"/>
        </w:rPr>
        <w:t xml:space="preserve"> 年    月    日</w:t>
      </w:r>
      <w:bookmarkEnd w:id="0"/>
      <w:bookmarkStart w:id="6" w:name="_Toc325046366"/>
    </w:p>
    <w:p>
      <w:pPr>
        <w:numPr>
          <w:ilvl w:val="0"/>
          <w:numId w:val="1"/>
        </w:numPr>
        <w:spacing w:line="360" w:lineRule="auto"/>
        <w:jc w:val="center"/>
        <w:rPr>
          <w:rFonts w:ascii="宋体" w:hAnsi="宋体"/>
          <w:b/>
          <w:bCs/>
          <w:sz w:val="36"/>
          <w:szCs w:val="36"/>
        </w:rPr>
      </w:pPr>
      <w:r>
        <w:rPr>
          <w:rFonts w:hint="eastAsia" w:ascii="宋体" w:hAnsi="宋体"/>
          <w:b/>
          <w:bCs/>
          <w:sz w:val="36"/>
          <w:szCs w:val="36"/>
        </w:rPr>
        <w:t>投标人须知</w:t>
      </w:r>
    </w:p>
    <w:p>
      <w:pPr>
        <w:spacing w:line="360" w:lineRule="auto"/>
        <w:jc w:val="center"/>
        <w:rPr>
          <w:rFonts w:ascii="宋体" w:hAnsi="宋体"/>
          <w:bCs/>
          <w:sz w:val="28"/>
          <w:szCs w:val="28"/>
        </w:rPr>
      </w:pPr>
      <w:r>
        <w:rPr>
          <w:rFonts w:hint="eastAsia" w:ascii="宋体" w:hAnsi="宋体"/>
          <w:bCs/>
          <w:sz w:val="28"/>
          <w:szCs w:val="28"/>
        </w:rPr>
        <w:t>投标人须知前附表</w:t>
      </w:r>
    </w:p>
    <w:tbl>
      <w:tblPr>
        <w:tblStyle w:val="24"/>
        <w:tblW w:w="9380" w:type="dxa"/>
        <w:tblInd w:w="2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5"/>
        <w:gridCol w:w="2209"/>
        <w:gridCol w:w="63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ind w:right="-358" w:firstLine="120" w:firstLineChars="50"/>
              <w:rPr>
                <w:rFonts w:ascii="宋体" w:hAnsi="宋体"/>
                <w:sz w:val="24"/>
                <w:szCs w:val="24"/>
              </w:rPr>
            </w:pPr>
            <w:r>
              <w:rPr>
                <w:rFonts w:hint="eastAsia" w:ascii="宋体" w:hAnsi="宋体"/>
                <w:sz w:val="24"/>
                <w:szCs w:val="24"/>
              </w:rPr>
              <w:t>项号</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内</w:t>
            </w:r>
            <w:r>
              <w:rPr>
                <w:rFonts w:ascii="宋体" w:hAnsi="宋体"/>
                <w:sz w:val="24"/>
                <w:szCs w:val="24"/>
              </w:rPr>
              <w:t xml:space="preserve">    </w:t>
            </w:r>
            <w:r>
              <w:rPr>
                <w:rFonts w:hint="eastAsia" w:ascii="宋体" w:hAnsi="宋体"/>
                <w:sz w:val="24"/>
                <w:szCs w:val="24"/>
              </w:rPr>
              <w:t>容</w:t>
            </w:r>
          </w:p>
        </w:tc>
        <w:tc>
          <w:tcPr>
            <w:tcW w:w="6366" w:type="dxa"/>
            <w:tcBorders>
              <w:top w:val="single" w:color="auto" w:sz="4" w:space="0"/>
              <w:left w:val="single" w:color="auto" w:sz="4" w:space="0"/>
              <w:bottom w:val="single" w:color="auto" w:sz="4" w:space="0"/>
              <w:right w:val="single" w:color="auto" w:sz="4" w:space="0"/>
            </w:tcBorders>
            <w:vAlign w:val="center"/>
          </w:tcPr>
          <w:p>
            <w:pPr>
              <w:tabs>
                <w:tab w:val="left" w:pos="1180"/>
              </w:tabs>
              <w:spacing w:line="360" w:lineRule="auto"/>
              <w:jc w:val="center"/>
              <w:rPr>
                <w:rFonts w:ascii="宋体" w:hAnsi="宋体"/>
                <w:sz w:val="24"/>
                <w:szCs w:val="24"/>
              </w:rPr>
            </w:pPr>
            <w:r>
              <w:rPr>
                <w:rFonts w:hint="eastAsia" w:ascii="宋体" w:hAnsi="宋体"/>
                <w:sz w:val="24"/>
                <w:szCs w:val="24"/>
              </w:rPr>
              <w:t>说明与要求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96"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ascii="宋体" w:hAnsi="宋体"/>
                <w:sz w:val="24"/>
                <w:szCs w:val="24"/>
              </w:rPr>
              <w:t>1</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项目名称</w:t>
            </w:r>
          </w:p>
        </w:tc>
        <w:tc>
          <w:tcPr>
            <w:tcW w:w="6366" w:type="dxa"/>
            <w:tcBorders>
              <w:top w:val="single" w:color="auto" w:sz="4" w:space="0"/>
              <w:left w:val="single" w:color="auto" w:sz="4" w:space="0"/>
              <w:bottom w:val="single" w:color="auto" w:sz="4" w:space="0"/>
              <w:right w:val="single" w:color="auto" w:sz="4" w:space="0"/>
            </w:tcBorders>
            <w:vAlign w:val="center"/>
          </w:tcPr>
          <w:p>
            <w:pPr>
              <w:pStyle w:val="18"/>
              <w:spacing w:line="360" w:lineRule="auto"/>
              <w:ind w:left="0" w:leftChars="0"/>
              <w:rPr>
                <w:rFonts w:ascii="宋体" w:hAnsi="宋体"/>
                <w:sz w:val="24"/>
              </w:rPr>
            </w:pPr>
            <w:r>
              <w:rPr>
                <w:rFonts w:hint="eastAsia" w:ascii="宋体" w:hAnsi="宋体"/>
                <w:sz w:val="24"/>
              </w:rPr>
              <w:t>青岛钢铁有限公司城市钢厂环保搬迁工程4#高线搬迁工程立式卷芯棒</w:t>
            </w:r>
            <w:r>
              <w:rPr>
                <w:rFonts w:hint="eastAsia" w:ascii="宋体" w:hAnsi="宋体"/>
                <w:spacing w:val="-20"/>
                <w:sz w:val="24"/>
              </w:rPr>
              <w:t>电气安装调试服务项目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0"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ascii="宋体" w:hAnsi="宋体"/>
                <w:sz w:val="24"/>
                <w:szCs w:val="24"/>
              </w:rPr>
              <w:t>2</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建设地点</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青岛黄岛区泊里镇集成路1886号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5"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ascii="宋体" w:hAnsi="宋体"/>
                <w:sz w:val="24"/>
                <w:szCs w:val="24"/>
              </w:rPr>
              <w:t>4</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招标人</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青岛特殊钢铁有限公司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39"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5</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招标内容</w:t>
            </w:r>
          </w:p>
        </w:tc>
        <w:tc>
          <w:tcPr>
            <w:tcW w:w="6366"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520" w:lineRule="exact"/>
              <w:ind w:firstLine="480" w:firstLineChars="200"/>
              <w:rPr>
                <w:rFonts w:ascii="宋体" w:hAnsi="宋体"/>
                <w:sz w:val="24"/>
                <w:szCs w:val="24"/>
              </w:rPr>
            </w:pPr>
            <w:r>
              <w:rPr>
                <w:rFonts w:hint="eastAsia" w:ascii="宋体" w:hAnsi="宋体"/>
                <w:sz w:val="24"/>
                <w:szCs w:val="24"/>
              </w:rPr>
              <w:t>本招标技术服务范围是青钢4#高线立式卷芯棒系统（原瑞典森德斯公司设计，国内生产）设备和电气系统设计、安装调试、工艺调试、性能考核的技术指导服务。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6</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投标人资质等级要求</w:t>
            </w:r>
          </w:p>
        </w:tc>
        <w:tc>
          <w:tcPr>
            <w:tcW w:w="6366" w:type="dxa"/>
            <w:tcBorders>
              <w:top w:val="single" w:color="auto" w:sz="4" w:space="0"/>
              <w:left w:val="single" w:color="auto" w:sz="4" w:space="0"/>
              <w:bottom w:val="single" w:color="auto" w:sz="4" w:space="0"/>
              <w:right w:val="single" w:color="auto" w:sz="4" w:space="0"/>
            </w:tcBorders>
            <w:vAlign w:val="center"/>
          </w:tcPr>
          <w:p>
            <w:pPr>
              <w:pStyle w:val="6"/>
              <w:widowControl/>
              <w:spacing w:line="360" w:lineRule="auto"/>
              <w:jc w:val="both"/>
              <w:rPr>
                <w:sz w:val="24"/>
              </w:rPr>
            </w:pPr>
            <w:r>
              <w:rPr>
                <w:rFonts w:ascii="宋体" w:hAnsi="宋体"/>
                <w:sz w:val="24"/>
              </w:rPr>
              <w:t>具有独立的法人资格，具有</w:t>
            </w:r>
            <w:r>
              <w:rPr>
                <w:rFonts w:hint="eastAsia" w:ascii="宋体" w:hAnsi="宋体"/>
                <w:sz w:val="24"/>
              </w:rPr>
              <w:t>进口高线森德斯设备安装等方面的技术服务能力，具有独立承揽业务的能力。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1"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7</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踏勘现场</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rPr>
            </w:pPr>
            <w:r>
              <w:rPr>
                <w:rFonts w:hint="eastAsia" w:ascii="宋体" w:hAnsi="宋体"/>
                <w:sz w:val="24"/>
                <w:szCs w:val="24"/>
              </w:rPr>
              <w:t>由投标人自行勘察，投标人自行负责勘察过程中的人身和财产安全。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26"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ind w:right="-358" w:firstLine="210"/>
              <w:rPr>
                <w:rFonts w:ascii="宋体" w:hAnsi="宋体"/>
                <w:sz w:val="24"/>
                <w:szCs w:val="24"/>
              </w:rPr>
            </w:pPr>
            <w:r>
              <w:rPr>
                <w:rFonts w:hint="eastAsia" w:ascii="宋体" w:hAnsi="宋体"/>
                <w:sz w:val="24"/>
                <w:szCs w:val="24"/>
              </w:rPr>
              <w:t>9</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报价规定</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根据市场现行价格和企业自身情况自主报价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37"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10</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报价采用的币种</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人民币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32"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11</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投标有效期</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从投标截止之日起：</w:t>
            </w:r>
            <w:r>
              <w:rPr>
                <w:rFonts w:ascii="宋体" w:hAnsi="宋体"/>
                <w:sz w:val="24"/>
                <w:szCs w:val="24"/>
                <w:u w:val="single"/>
              </w:rPr>
              <w:t xml:space="preserve"> </w:t>
            </w:r>
            <w:r>
              <w:rPr>
                <w:rFonts w:hint="eastAsia" w:ascii="宋体" w:hAnsi="宋体"/>
                <w:sz w:val="24"/>
                <w:szCs w:val="24"/>
                <w:u w:val="single"/>
              </w:rPr>
              <w:t xml:space="preserve"> 90 </w:t>
            </w:r>
            <w:r>
              <w:rPr>
                <w:rFonts w:ascii="宋体" w:hAnsi="宋体"/>
                <w:sz w:val="24"/>
                <w:szCs w:val="24"/>
                <w:u w:val="single"/>
              </w:rPr>
              <w:t xml:space="preserve"> </w:t>
            </w:r>
            <w:r>
              <w:rPr>
                <w:rFonts w:hint="eastAsia" w:ascii="宋体" w:hAnsi="宋体"/>
                <w:sz w:val="24"/>
                <w:szCs w:val="24"/>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31"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12</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投标保证金</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1. 投标保证金金额</w:t>
            </w:r>
          </w:p>
          <w:p>
            <w:pPr>
              <w:spacing w:line="360" w:lineRule="auto"/>
              <w:rPr>
                <w:rFonts w:ascii="宋体" w:hAnsi="宋体"/>
                <w:sz w:val="24"/>
                <w:szCs w:val="24"/>
              </w:rPr>
            </w:pPr>
            <w:r>
              <w:rPr>
                <w:rFonts w:hint="eastAsia" w:ascii="宋体" w:hAnsi="宋体"/>
                <w:sz w:val="24"/>
                <w:szCs w:val="24"/>
              </w:rPr>
              <w:t>人民币2万元。</w:t>
            </w:r>
          </w:p>
          <w:p>
            <w:pPr>
              <w:spacing w:line="360" w:lineRule="auto"/>
              <w:rPr>
                <w:rFonts w:ascii="宋体" w:hAnsi="宋体"/>
                <w:sz w:val="24"/>
                <w:szCs w:val="24"/>
              </w:rPr>
            </w:pPr>
            <w:r>
              <w:rPr>
                <w:rFonts w:hint="eastAsia" w:ascii="宋体" w:hAnsi="宋体"/>
                <w:sz w:val="24"/>
                <w:szCs w:val="24"/>
              </w:rPr>
              <w:t>2. 投标保证金专用账户</w:t>
            </w:r>
          </w:p>
          <w:p>
            <w:pPr>
              <w:spacing w:line="360" w:lineRule="auto"/>
              <w:rPr>
                <w:rFonts w:ascii="宋体" w:hAnsi="宋体"/>
                <w:sz w:val="24"/>
                <w:szCs w:val="24"/>
              </w:rPr>
            </w:pPr>
            <w:r>
              <w:rPr>
                <w:rFonts w:hint="eastAsia" w:ascii="宋体" w:hAnsi="宋体"/>
                <w:sz w:val="24"/>
                <w:szCs w:val="24"/>
              </w:rPr>
              <w:t>开户名称：青岛钰也发展股份有限公司</w:t>
            </w:r>
          </w:p>
          <w:p>
            <w:pPr>
              <w:spacing w:line="360" w:lineRule="auto"/>
              <w:rPr>
                <w:rFonts w:ascii="宋体" w:hAnsi="宋体"/>
                <w:sz w:val="24"/>
                <w:szCs w:val="24"/>
              </w:rPr>
            </w:pPr>
            <w:r>
              <w:rPr>
                <w:rFonts w:hint="eastAsia" w:ascii="宋体" w:hAnsi="宋体"/>
                <w:sz w:val="24"/>
                <w:szCs w:val="24"/>
              </w:rPr>
              <w:t>开户银行：</w:t>
            </w:r>
            <w:r>
              <w:rPr>
                <w:rFonts w:hint="eastAsia" w:ascii="宋体" w:hAnsi="宋体"/>
                <w:sz w:val="24"/>
                <w:szCs w:val="24"/>
                <w:u w:val="single"/>
              </w:rPr>
              <w:t>招商银行香港中路支行</w:t>
            </w:r>
          </w:p>
          <w:p>
            <w:pPr>
              <w:spacing w:line="360" w:lineRule="auto"/>
              <w:rPr>
                <w:rFonts w:ascii="宋体" w:hAnsi="宋体"/>
                <w:sz w:val="24"/>
                <w:szCs w:val="24"/>
                <w:u w:val="single"/>
              </w:rPr>
            </w:pPr>
            <w:r>
              <w:rPr>
                <w:rFonts w:hint="eastAsia" w:ascii="宋体" w:hAnsi="宋体"/>
                <w:sz w:val="24"/>
                <w:szCs w:val="24"/>
              </w:rPr>
              <w:t>账    号：</w:t>
            </w:r>
            <w:r>
              <w:rPr>
                <w:rFonts w:hint="eastAsia" w:ascii="宋体" w:hAnsi="宋体"/>
                <w:sz w:val="24"/>
                <w:szCs w:val="24"/>
                <w:u w:val="single"/>
              </w:rPr>
              <w:t xml:space="preserve">532904837210888   </w:t>
            </w:r>
          </w:p>
          <w:p>
            <w:pPr>
              <w:spacing w:line="360" w:lineRule="auto"/>
              <w:rPr>
                <w:rFonts w:ascii="宋体" w:hAnsi="宋体"/>
                <w:sz w:val="24"/>
                <w:szCs w:val="24"/>
              </w:rPr>
            </w:pPr>
            <w:r>
              <w:rPr>
                <w:rFonts w:hint="eastAsia" w:ascii="宋体" w:hAnsi="宋体"/>
                <w:sz w:val="24"/>
                <w:szCs w:val="24"/>
              </w:rPr>
              <w:t>3. 投标保证金的提交形式</w:t>
            </w:r>
          </w:p>
          <w:p>
            <w:pPr>
              <w:spacing w:line="360" w:lineRule="auto"/>
              <w:rPr>
                <w:rFonts w:ascii="宋体" w:hAnsi="宋体"/>
                <w:sz w:val="24"/>
                <w:szCs w:val="24"/>
              </w:rPr>
            </w:pPr>
            <w:r>
              <w:rPr>
                <w:rFonts w:hint="eastAsia" w:ascii="宋体" w:hAnsi="宋体"/>
                <w:sz w:val="24"/>
                <w:szCs w:val="24"/>
              </w:rPr>
              <w:t>（1）投标保证金必须一项目一交。</w:t>
            </w:r>
          </w:p>
          <w:p>
            <w:pPr>
              <w:spacing w:line="360" w:lineRule="auto"/>
              <w:rPr>
                <w:rFonts w:ascii="宋体" w:hAnsi="宋体"/>
                <w:sz w:val="24"/>
                <w:szCs w:val="24"/>
              </w:rPr>
            </w:pPr>
            <w:r>
              <w:rPr>
                <w:rFonts w:hint="eastAsia" w:ascii="宋体" w:hAnsi="宋体"/>
                <w:sz w:val="24"/>
                <w:szCs w:val="24"/>
              </w:rPr>
              <w:t>（2）开标时必须向招标人单独提交加盖投标方公章的银行电汇凭证复印件或加盖投标方公章的网上银行电子交易凭证。</w:t>
            </w:r>
          </w:p>
          <w:p>
            <w:pPr>
              <w:spacing w:line="360" w:lineRule="auto"/>
              <w:rPr>
                <w:rFonts w:ascii="宋体" w:hAnsi="宋体"/>
                <w:sz w:val="24"/>
                <w:szCs w:val="24"/>
              </w:rPr>
            </w:pPr>
            <w:r>
              <w:rPr>
                <w:rFonts w:hint="eastAsia" w:ascii="宋体" w:hAnsi="宋体"/>
                <w:sz w:val="24"/>
                <w:szCs w:val="24"/>
              </w:rPr>
              <w:t>（3）在确认未中标后7-15个工作日后携带下列资料至青钢财务资产管理部（联系电话:0532-58815071），办理退还保证金业务：</w:t>
            </w:r>
          </w:p>
          <w:p>
            <w:pPr>
              <w:spacing w:line="360" w:lineRule="auto"/>
              <w:rPr>
                <w:rFonts w:ascii="宋体" w:hAnsi="宋体"/>
                <w:sz w:val="24"/>
                <w:szCs w:val="24"/>
              </w:rPr>
            </w:pPr>
            <w:r>
              <w:rPr>
                <w:rFonts w:hint="eastAsia" w:ascii="宋体" w:hAnsi="宋体"/>
                <w:sz w:val="24"/>
                <w:szCs w:val="24"/>
              </w:rPr>
              <w:t>①、开具给招标人的收据，收据中退款方为招标文件中载明的投标保证金专用账户开户名称。</w:t>
            </w:r>
          </w:p>
          <w:p>
            <w:pPr>
              <w:spacing w:line="360" w:lineRule="auto"/>
              <w:rPr>
                <w:rFonts w:ascii="宋体" w:hAnsi="宋体"/>
                <w:sz w:val="24"/>
                <w:szCs w:val="24"/>
              </w:rPr>
            </w:pPr>
            <w:r>
              <w:rPr>
                <w:rFonts w:hint="eastAsia" w:ascii="宋体" w:hAnsi="宋体"/>
                <w:sz w:val="24"/>
                <w:szCs w:val="24"/>
              </w:rPr>
              <w:t>②、投标人的开户行名称及开户行账号。</w:t>
            </w:r>
          </w:p>
          <w:p>
            <w:pPr>
              <w:spacing w:line="360" w:lineRule="auto"/>
              <w:rPr>
                <w:rFonts w:ascii="宋体" w:hAnsi="宋体"/>
                <w:sz w:val="24"/>
                <w:szCs w:val="24"/>
              </w:rPr>
            </w:pPr>
            <w:r>
              <w:rPr>
                <w:rFonts w:hint="eastAsia" w:ascii="宋体" w:hAnsi="宋体"/>
                <w:sz w:val="24"/>
                <w:szCs w:val="24"/>
              </w:rPr>
              <w:t>③、如果投标人以现金形式交纳投标保证金的，须提供交纳投标保证金的银行交款凭证原件。</w:t>
            </w:r>
          </w:p>
          <w:p>
            <w:pPr>
              <w:spacing w:line="360" w:lineRule="auto"/>
              <w:rPr>
                <w:rFonts w:ascii="宋体" w:hAnsi="宋体"/>
                <w:sz w:val="24"/>
                <w:szCs w:val="24"/>
              </w:rPr>
            </w:pPr>
            <w:r>
              <w:rPr>
                <w:rFonts w:hint="eastAsia" w:ascii="宋体" w:hAnsi="宋体"/>
                <w:sz w:val="24"/>
                <w:szCs w:val="24"/>
              </w:rPr>
              <w:t xml:space="preserve">4.退款单位名称与投标单位名称必须保持一致。 </w:t>
            </w:r>
          </w:p>
          <w:p>
            <w:pPr>
              <w:spacing w:line="360" w:lineRule="auto"/>
              <w:rPr>
                <w:rFonts w:ascii="宋体" w:hAnsi="宋体"/>
                <w:sz w:val="24"/>
                <w:szCs w:val="24"/>
              </w:rPr>
            </w:pPr>
            <w:r>
              <w:rPr>
                <w:rFonts w:hint="eastAsia" w:ascii="宋体" w:hAnsi="宋体"/>
                <w:sz w:val="24"/>
                <w:szCs w:val="24"/>
              </w:rPr>
              <w:t xml:space="preserve">5.退款一律采用银行转账方式。 </w:t>
            </w:r>
          </w:p>
          <w:p>
            <w:pPr>
              <w:spacing w:line="360" w:lineRule="auto"/>
              <w:rPr>
                <w:rFonts w:ascii="宋体" w:hAnsi="宋体"/>
                <w:sz w:val="24"/>
                <w:szCs w:val="24"/>
              </w:rPr>
            </w:pPr>
            <w:r>
              <w:rPr>
                <w:rFonts w:hint="eastAsia" w:ascii="宋体" w:hAnsi="宋体"/>
                <w:sz w:val="24"/>
                <w:szCs w:val="24"/>
              </w:rPr>
              <w:t>6.投标单位的投标保证金不计付银行利息。</w:t>
            </w:r>
          </w:p>
          <w:p>
            <w:pPr>
              <w:spacing w:line="360" w:lineRule="auto"/>
              <w:rPr>
                <w:rFonts w:ascii="宋体" w:hAnsi="宋体"/>
                <w:sz w:val="24"/>
                <w:szCs w:val="24"/>
              </w:rPr>
            </w:pPr>
            <w:r>
              <w:rPr>
                <w:rFonts w:hint="eastAsia" w:ascii="宋体" w:hAnsi="宋体"/>
                <w:sz w:val="24"/>
                <w:szCs w:val="24"/>
              </w:rPr>
              <w:t>7.中标单位缴纳履约保证后退还。中标单位在接到中标通知后一个月内不与招标人签订合同的，投标保证金不予退还。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86"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13</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履约保证金</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Cs/>
                <w:sz w:val="24"/>
                <w:szCs w:val="24"/>
              </w:rPr>
            </w:pPr>
            <w:r>
              <w:rPr>
                <w:rFonts w:hint="eastAsia" w:ascii="宋体" w:hAnsi="宋体"/>
                <w:bCs/>
                <w:sz w:val="24"/>
                <w:szCs w:val="24"/>
              </w:rPr>
              <w:t>1、履约保证金：必须通过投标人本单位银行帐户以银行汇款方式缴纳至指定帐户，不收取现金。</w:t>
            </w:r>
          </w:p>
          <w:p>
            <w:pPr>
              <w:spacing w:line="360" w:lineRule="auto"/>
              <w:rPr>
                <w:rFonts w:ascii="宋体" w:hAnsi="宋体"/>
                <w:bCs/>
                <w:sz w:val="24"/>
                <w:szCs w:val="24"/>
              </w:rPr>
            </w:pPr>
            <w:r>
              <w:rPr>
                <w:rFonts w:hint="eastAsia" w:ascii="宋体" w:hAnsi="宋体"/>
                <w:bCs/>
                <w:sz w:val="24"/>
                <w:szCs w:val="24"/>
              </w:rPr>
              <w:t>2、履约保证金的金额：中标价的10%。</w:t>
            </w:r>
          </w:p>
          <w:p>
            <w:pPr>
              <w:spacing w:line="360" w:lineRule="auto"/>
              <w:rPr>
                <w:rFonts w:ascii="宋体" w:hAnsi="宋体"/>
                <w:sz w:val="24"/>
                <w:szCs w:val="24"/>
              </w:rPr>
            </w:pPr>
            <w:r>
              <w:rPr>
                <w:rFonts w:hint="eastAsia" w:ascii="宋体" w:hAnsi="宋体"/>
                <w:bCs/>
                <w:sz w:val="24"/>
                <w:szCs w:val="24"/>
              </w:rPr>
              <w:t>3、中标人在接到中标通知书后3个工作日内交齐。逾期未交齐者视为自动放弃中标资格，招标人有权另行选择中标人。履约保证金在竣工验收合格后一月内无息退回。</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6"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14</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投标文件份数</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Cs/>
                <w:sz w:val="24"/>
                <w:szCs w:val="24"/>
              </w:rPr>
            </w:pPr>
            <w:r>
              <w:rPr>
                <w:rFonts w:hint="eastAsia" w:ascii="宋体" w:hAnsi="宋体"/>
                <w:sz w:val="24"/>
                <w:szCs w:val="24"/>
              </w:rPr>
              <w:t>制作标书：资格审查标书一份；商务标书一份正本，四份副本；技术标书一式五份，不分正副本。</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15</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投标文件提交地点及截止时间</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地  点：</w:t>
            </w:r>
            <w:r>
              <w:rPr>
                <w:rFonts w:hint="eastAsia" w:ascii="宋体" w:hAnsi="宋体"/>
                <w:sz w:val="24"/>
              </w:rPr>
              <w:t>青岛特殊钢铁有限公司市场部开标室（</w:t>
            </w:r>
            <w:r>
              <w:rPr>
                <w:rFonts w:hint="eastAsia" w:ascii="宋体" w:hAnsi="宋体"/>
                <w:sz w:val="24"/>
                <w:szCs w:val="24"/>
              </w:rPr>
              <w:t>青岛黄岛区泊里镇集成路1886号</w:t>
            </w:r>
            <w:r>
              <w:rPr>
                <w:rFonts w:hint="eastAsia" w:ascii="宋体" w:hAnsi="宋体"/>
                <w:sz w:val="24"/>
              </w:rPr>
              <w:t>）</w:t>
            </w:r>
            <w:r>
              <w:rPr>
                <w:rFonts w:hint="eastAsia" w:ascii="宋体" w:hAnsi="宋体"/>
                <w:sz w:val="24"/>
                <w:szCs w:val="24"/>
              </w:rPr>
              <w:t xml:space="preserve">  </w:t>
            </w:r>
          </w:p>
          <w:p>
            <w:pPr>
              <w:spacing w:line="360" w:lineRule="auto"/>
              <w:rPr>
                <w:rFonts w:ascii="宋体" w:hAnsi="宋体"/>
                <w:bCs/>
                <w:sz w:val="24"/>
                <w:szCs w:val="24"/>
              </w:rPr>
            </w:pPr>
            <w:r>
              <w:rPr>
                <w:rFonts w:hint="eastAsia" w:ascii="宋体" w:hAnsi="宋体"/>
                <w:sz w:val="24"/>
                <w:szCs w:val="24"/>
              </w:rPr>
              <w:t>时  间：</w:t>
            </w:r>
            <w:r>
              <w:rPr>
                <w:rFonts w:ascii="宋体" w:hAnsi="宋体"/>
                <w:sz w:val="24"/>
                <w:szCs w:val="24"/>
              </w:rPr>
              <w:t xml:space="preserve"> </w:t>
            </w:r>
            <w:r>
              <w:rPr>
                <w:rFonts w:hint="eastAsia" w:ascii="宋体" w:hAnsi="宋体"/>
                <w:sz w:val="24"/>
                <w:szCs w:val="24"/>
              </w:rPr>
              <w:t>2016年</w:t>
            </w:r>
            <w:r>
              <w:rPr>
                <w:rFonts w:hint="eastAsia" w:ascii="宋体" w:hAnsi="宋体"/>
                <w:sz w:val="24"/>
                <w:szCs w:val="24"/>
                <w:lang w:val="en-US" w:eastAsia="zh-CN"/>
              </w:rPr>
              <w:t>5</w:t>
            </w:r>
            <w:r>
              <w:rPr>
                <w:rFonts w:hint="eastAsia" w:ascii="宋体" w:hAnsi="宋体"/>
                <w:sz w:val="24"/>
                <w:szCs w:val="24"/>
              </w:rPr>
              <w:t>月</w:t>
            </w:r>
            <w:r>
              <w:rPr>
                <w:rFonts w:hint="eastAsia" w:ascii="宋体" w:hAnsi="宋体"/>
                <w:sz w:val="24"/>
                <w:szCs w:val="24"/>
                <w:lang w:val="en-US" w:eastAsia="zh-CN"/>
              </w:rPr>
              <w:t>4</w:t>
            </w:r>
            <w:r>
              <w:rPr>
                <w:rFonts w:hint="eastAsia" w:ascii="宋体" w:hAnsi="宋体"/>
                <w:sz w:val="24"/>
                <w:szCs w:val="24"/>
              </w:rPr>
              <w:t>日9：</w:t>
            </w:r>
            <w:r>
              <w:rPr>
                <w:rFonts w:hint="eastAsia" w:ascii="宋体" w:hAnsi="宋体"/>
                <w:sz w:val="24"/>
                <w:szCs w:val="24"/>
                <w:lang w:val="en-US" w:eastAsia="zh-CN"/>
              </w:rPr>
              <w:t>3</w:t>
            </w:r>
            <w:r>
              <w:rPr>
                <w:rFonts w:hint="eastAsia" w:ascii="宋体" w:hAnsi="宋体"/>
                <w:sz w:val="24"/>
                <w:szCs w:val="24"/>
              </w:rPr>
              <w:t>0时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59"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16</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开   标</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ind w:left="210" w:hanging="210"/>
              <w:rPr>
                <w:rFonts w:ascii="宋体" w:hAnsi="宋体"/>
                <w:sz w:val="24"/>
                <w:szCs w:val="24"/>
              </w:rPr>
            </w:pPr>
            <w:r>
              <w:rPr>
                <w:rFonts w:hint="eastAsia" w:ascii="宋体" w:hAnsi="宋体"/>
                <w:sz w:val="24"/>
                <w:szCs w:val="24"/>
              </w:rPr>
              <w:t>时  间：</w:t>
            </w:r>
            <w:r>
              <w:rPr>
                <w:rFonts w:ascii="宋体" w:hAnsi="宋体"/>
                <w:sz w:val="24"/>
                <w:szCs w:val="24"/>
              </w:rPr>
              <w:t xml:space="preserve"> </w:t>
            </w:r>
            <w:r>
              <w:rPr>
                <w:rFonts w:hint="eastAsia" w:ascii="宋体" w:hAnsi="宋体"/>
                <w:sz w:val="24"/>
                <w:szCs w:val="24"/>
              </w:rPr>
              <w:t>2016年</w:t>
            </w:r>
            <w:r>
              <w:rPr>
                <w:rFonts w:hint="eastAsia" w:ascii="宋体" w:hAnsi="宋体"/>
                <w:sz w:val="24"/>
                <w:szCs w:val="24"/>
                <w:lang w:val="en-US" w:eastAsia="zh-CN"/>
              </w:rPr>
              <w:t>5</w:t>
            </w:r>
            <w:r>
              <w:rPr>
                <w:rFonts w:hint="eastAsia" w:ascii="宋体" w:hAnsi="宋体"/>
                <w:sz w:val="24"/>
                <w:szCs w:val="24"/>
              </w:rPr>
              <w:t>月</w:t>
            </w:r>
            <w:r>
              <w:rPr>
                <w:rFonts w:hint="eastAsia" w:ascii="宋体" w:hAnsi="宋体"/>
                <w:sz w:val="24"/>
                <w:szCs w:val="24"/>
                <w:lang w:val="en-US" w:eastAsia="zh-CN"/>
              </w:rPr>
              <w:t>4</w:t>
            </w:r>
            <w:r>
              <w:rPr>
                <w:rFonts w:hint="eastAsia" w:ascii="宋体" w:hAnsi="宋体"/>
                <w:sz w:val="24"/>
                <w:szCs w:val="24"/>
              </w:rPr>
              <w:t>日</w:t>
            </w:r>
            <w:r>
              <w:rPr>
                <w:rFonts w:ascii="宋体" w:hAnsi="宋体"/>
                <w:sz w:val="24"/>
                <w:szCs w:val="24"/>
              </w:rPr>
              <w:t xml:space="preserve"> </w:t>
            </w:r>
            <w:r>
              <w:rPr>
                <w:rFonts w:hint="eastAsia" w:ascii="宋体" w:hAnsi="宋体"/>
                <w:sz w:val="24"/>
                <w:szCs w:val="24"/>
              </w:rPr>
              <w:t>9：</w:t>
            </w:r>
            <w:r>
              <w:rPr>
                <w:rFonts w:hint="eastAsia" w:ascii="宋体" w:hAnsi="宋体"/>
                <w:sz w:val="24"/>
                <w:szCs w:val="24"/>
                <w:lang w:val="en-US" w:eastAsia="zh-CN"/>
              </w:rPr>
              <w:t>3</w:t>
            </w:r>
            <w:bookmarkStart w:id="53" w:name="_GoBack"/>
            <w:bookmarkEnd w:id="53"/>
            <w:r>
              <w:rPr>
                <w:rFonts w:hint="eastAsia" w:ascii="宋体" w:hAnsi="宋体"/>
                <w:sz w:val="24"/>
                <w:szCs w:val="24"/>
              </w:rPr>
              <w:t>0 时</w:t>
            </w:r>
          </w:p>
          <w:p>
            <w:pPr>
              <w:spacing w:line="360" w:lineRule="auto"/>
              <w:ind w:left="210" w:hanging="210"/>
              <w:rPr>
                <w:rFonts w:ascii="宋体" w:hAnsi="宋体"/>
                <w:sz w:val="24"/>
                <w:szCs w:val="24"/>
              </w:rPr>
            </w:pPr>
            <w:r>
              <w:rPr>
                <w:rFonts w:hint="eastAsia" w:ascii="宋体" w:hAnsi="宋体"/>
                <w:sz w:val="24"/>
                <w:szCs w:val="24"/>
              </w:rPr>
              <w:t>地点：</w:t>
            </w:r>
            <w:r>
              <w:rPr>
                <w:rFonts w:hint="eastAsia" w:ascii="宋体" w:hAnsi="宋体"/>
                <w:sz w:val="24"/>
              </w:rPr>
              <w:t>青岛特殊钢铁有限公司市场部开标室（</w:t>
            </w:r>
            <w:r>
              <w:rPr>
                <w:rFonts w:hint="eastAsia" w:ascii="宋体" w:hAnsi="宋体"/>
                <w:sz w:val="24"/>
                <w:szCs w:val="24"/>
              </w:rPr>
              <w:t>青岛黄岛区泊里镇集成路1886号</w:t>
            </w:r>
            <w:r>
              <w:rPr>
                <w:rFonts w:hint="eastAsia" w:ascii="宋体" w:hAnsi="宋体"/>
                <w:sz w:val="24"/>
              </w:rPr>
              <w:t>）</w:t>
            </w:r>
            <w:r>
              <w:rPr>
                <w:rFonts w:hint="eastAsia" w:ascii="宋体" w:hAnsi="宋体"/>
                <w:sz w:val="24"/>
                <w:szCs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9"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17</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评标委员会的</w:t>
            </w:r>
          </w:p>
          <w:p>
            <w:pPr>
              <w:spacing w:line="360" w:lineRule="auto"/>
              <w:jc w:val="center"/>
              <w:rPr>
                <w:rFonts w:ascii="宋体" w:hAnsi="宋体"/>
                <w:sz w:val="24"/>
                <w:szCs w:val="24"/>
              </w:rPr>
            </w:pPr>
            <w:r>
              <w:rPr>
                <w:rFonts w:hint="eastAsia" w:ascii="宋体" w:hAnsi="宋体"/>
                <w:sz w:val="24"/>
                <w:szCs w:val="24"/>
              </w:rPr>
              <w:t>组建</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sz w:val="24"/>
                <w:szCs w:val="24"/>
              </w:rPr>
              <w:t>评标委员会构成5人。评标专家确定方式:开标前现场随机抽取。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6"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18</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招标文件发放时间</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 w:val="24"/>
                <w:szCs w:val="24"/>
              </w:rPr>
            </w:pPr>
            <w:r>
              <w:rPr>
                <w:rFonts w:hint="eastAsia" w:ascii="宋体" w:hAnsi="宋体" w:cs="宋体"/>
                <w:kern w:val="0"/>
                <w:sz w:val="24"/>
                <w:szCs w:val="24"/>
              </w:rPr>
              <w:t>与公告发布为同一时间，符合条件的投标人请到青钢集团招标网自行下载招标文件bid.qdsteel.com。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2"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18</w:t>
            </w:r>
          </w:p>
        </w:tc>
        <w:tc>
          <w:tcPr>
            <w:tcW w:w="22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其他要求</w:t>
            </w:r>
          </w:p>
        </w:tc>
        <w:tc>
          <w:tcPr>
            <w:tcW w:w="6366"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 w:val="24"/>
                <w:szCs w:val="24"/>
              </w:rPr>
            </w:pPr>
            <w:r>
              <w:rPr>
                <w:rFonts w:hint="eastAsia" w:ascii="宋体" w:hAnsi="宋体"/>
                <w:sz w:val="24"/>
                <w:szCs w:val="24"/>
              </w:rPr>
              <w:t>1、各类证明材料除开标时提供原件外，还应将相应的复印件装订在投标书商务标书中。商务标中没有复印件的，开标时提供的原件将不予确认得分；只有复印件不提供原件的也不予确认得分。</w:t>
            </w:r>
          </w:p>
          <w:p>
            <w:pPr>
              <w:spacing w:line="360" w:lineRule="exact"/>
              <w:rPr>
                <w:rFonts w:ascii="宋体" w:hAnsi="宋体"/>
                <w:sz w:val="24"/>
                <w:szCs w:val="24"/>
              </w:rPr>
            </w:pPr>
            <w:r>
              <w:rPr>
                <w:rFonts w:hint="eastAsia" w:ascii="宋体" w:hAnsi="宋体"/>
                <w:sz w:val="24"/>
                <w:szCs w:val="24"/>
              </w:rPr>
              <w:t>2、提供的各类证明材料原件清单加盖单位公章，一式两份，一份装订在商务标书中、一份在开标时提交。</w:t>
            </w:r>
          </w:p>
        </w:tc>
      </w:tr>
    </w:tbl>
    <w:p>
      <w:pPr>
        <w:rPr>
          <w:rFonts w:ascii="宋体" w:hAnsi="宋体"/>
          <w:sz w:val="36"/>
          <w:szCs w:val="36"/>
        </w:rPr>
        <w:sectPr>
          <w:pgSz w:w="11906" w:h="16838"/>
          <w:pgMar w:top="1090" w:right="1230" w:bottom="1440" w:left="1230" w:header="851" w:footer="992" w:gutter="0"/>
          <w:cols w:space="720" w:num="1"/>
          <w:titlePg/>
          <w:docGrid w:type="lines" w:linePitch="312" w:charSpace="0"/>
        </w:sectPr>
      </w:pPr>
    </w:p>
    <w:p>
      <w:pPr>
        <w:adjustRightInd w:val="0"/>
        <w:snapToGrid w:val="0"/>
        <w:spacing w:line="360" w:lineRule="auto"/>
        <w:ind w:firstLine="590" w:firstLineChars="245"/>
        <w:outlineLvl w:val="1"/>
        <w:rPr>
          <w:rFonts w:ascii="宋体" w:hAnsi="宋体"/>
          <w:b/>
          <w:sz w:val="24"/>
          <w:szCs w:val="24"/>
        </w:rPr>
      </w:pPr>
      <w:r>
        <w:rPr>
          <w:rFonts w:ascii="宋体" w:hAnsi="宋体"/>
          <w:b/>
          <w:sz w:val="24"/>
          <w:szCs w:val="24"/>
        </w:rPr>
        <w:t>一、招标文件的说明</w:t>
      </w:r>
    </w:p>
    <w:p>
      <w:pPr>
        <w:adjustRightInd w:val="0"/>
        <w:snapToGrid w:val="0"/>
        <w:spacing w:line="360" w:lineRule="auto"/>
        <w:ind w:firstLine="602" w:firstLineChars="250"/>
        <w:rPr>
          <w:rFonts w:ascii="宋体" w:hAnsi="宋体"/>
          <w:b/>
          <w:bCs/>
          <w:sz w:val="24"/>
          <w:szCs w:val="24"/>
        </w:rPr>
      </w:pPr>
      <w:r>
        <w:rPr>
          <w:rFonts w:ascii="宋体" w:hAnsi="宋体"/>
          <w:b/>
          <w:bCs/>
          <w:sz w:val="24"/>
          <w:szCs w:val="24"/>
        </w:rPr>
        <w:t>1、适用范围</w:t>
      </w:r>
    </w:p>
    <w:p>
      <w:pPr>
        <w:adjustRightInd w:val="0"/>
        <w:snapToGrid w:val="0"/>
        <w:spacing w:line="360" w:lineRule="auto"/>
        <w:ind w:firstLine="600" w:firstLineChars="250"/>
        <w:rPr>
          <w:rFonts w:ascii="宋体" w:hAnsi="宋体"/>
          <w:sz w:val="24"/>
          <w:szCs w:val="24"/>
        </w:rPr>
      </w:pPr>
      <w:r>
        <w:rPr>
          <w:rFonts w:ascii="宋体" w:hAnsi="宋体"/>
          <w:sz w:val="24"/>
          <w:szCs w:val="24"/>
        </w:rPr>
        <w:t>本招标文件仅适用于本次“招标</w:t>
      </w:r>
      <w:r>
        <w:rPr>
          <w:rFonts w:hint="eastAsia" w:ascii="宋体" w:hAnsi="宋体"/>
          <w:sz w:val="24"/>
          <w:szCs w:val="24"/>
        </w:rPr>
        <w:t>公告</w:t>
      </w:r>
      <w:r>
        <w:rPr>
          <w:rFonts w:ascii="宋体" w:hAnsi="宋体"/>
          <w:sz w:val="24"/>
          <w:szCs w:val="24"/>
        </w:rPr>
        <w:t>”中所叙述的项目。</w:t>
      </w:r>
    </w:p>
    <w:p>
      <w:pPr>
        <w:adjustRightInd w:val="0"/>
        <w:snapToGrid w:val="0"/>
        <w:spacing w:line="360" w:lineRule="auto"/>
        <w:ind w:firstLine="602" w:firstLineChars="250"/>
        <w:rPr>
          <w:rFonts w:ascii="宋体" w:hAnsi="宋体"/>
          <w:b/>
          <w:bCs/>
          <w:sz w:val="24"/>
          <w:szCs w:val="24"/>
        </w:rPr>
      </w:pPr>
      <w:r>
        <w:rPr>
          <w:rFonts w:ascii="宋体" w:hAnsi="宋体"/>
          <w:b/>
          <w:bCs/>
          <w:sz w:val="24"/>
          <w:szCs w:val="24"/>
        </w:rPr>
        <w:t>2、招标文件的组成</w:t>
      </w:r>
    </w:p>
    <w:p>
      <w:pPr>
        <w:adjustRightInd w:val="0"/>
        <w:snapToGrid w:val="0"/>
        <w:spacing w:line="360" w:lineRule="auto"/>
        <w:ind w:firstLine="600" w:firstLineChars="250"/>
        <w:rPr>
          <w:rFonts w:ascii="宋体" w:hAnsi="宋体"/>
          <w:sz w:val="24"/>
          <w:szCs w:val="24"/>
        </w:rPr>
      </w:pPr>
      <w:r>
        <w:rPr>
          <w:rFonts w:ascii="宋体" w:hAnsi="宋体"/>
          <w:sz w:val="24"/>
          <w:szCs w:val="24"/>
        </w:rPr>
        <w:t>招标文件包括下列文件及补充资料：</w:t>
      </w:r>
    </w:p>
    <w:p>
      <w:pPr>
        <w:adjustRightInd w:val="0"/>
        <w:snapToGrid w:val="0"/>
        <w:spacing w:line="360" w:lineRule="auto"/>
        <w:ind w:firstLine="600" w:firstLineChars="250"/>
        <w:rPr>
          <w:rFonts w:ascii="宋体" w:hAnsi="宋体"/>
          <w:sz w:val="24"/>
          <w:szCs w:val="24"/>
        </w:rPr>
      </w:pPr>
      <w:r>
        <w:rPr>
          <w:rFonts w:ascii="宋体" w:hAnsi="宋体"/>
          <w:sz w:val="24"/>
          <w:szCs w:val="24"/>
        </w:rPr>
        <w:t>2.1招标</w:t>
      </w:r>
      <w:r>
        <w:rPr>
          <w:rFonts w:hint="eastAsia" w:ascii="宋体" w:hAnsi="宋体"/>
          <w:sz w:val="24"/>
          <w:szCs w:val="24"/>
        </w:rPr>
        <w:t>公告</w:t>
      </w:r>
      <w:r>
        <w:rPr>
          <w:rFonts w:ascii="宋体" w:hAnsi="宋体"/>
          <w:sz w:val="24"/>
          <w:szCs w:val="24"/>
        </w:rPr>
        <w:t>；</w:t>
      </w:r>
    </w:p>
    <w:p>
      <w:pPr>
        <w:adjustRightInd w:val="0"/>
        <w:snapToGrid w:val="0"/>
        <w:spacing w:line="360" w:lineRule="auto"/>
        <w:ind w:firstLine="600" w:firstLineChars="250"/>
        <w:rPr>
          <w:rFonts w:ascii="宋体" w:hAnsi="宋体"/>
          <w:sz w:val="24"/>
          <w:szCs w:val="24"/>
        </w:rPr>
      </w:pPr>
      <w:r>
        <w:rPr>
          <w:rFonts w:ascii="宋体" w:hAnsi="宋体"/>
          <w:sz w:val="24"/>
          <w:szCs w:val="24"/>
        </w:rPr>
        <w:t>2.2投标人须知；</w:t>
      </w:r>
    </w:p>
    <w:p>
      <w:pPr>
        <w:adjustRightInd w:val="0"/>
        <w:snapToGrid w:val="0"/>
        <w:spacing w:line="360" w:lineRule="auto"/>
        <w:ind w:firstLine="600" w:firstLineChars="250"/>
        <w:rPr>
          <w:rFonts w:ascii="宋体" w:hAnsi="宋体"/>
          <w:sz w:val="24"/>
          <w:szCs w:val="24"/>
        </w:rPr>
      </w:pPr>
      <w:r>
        <w:rPr>
          <w:rFonts w:ascii="宋体" w:hAnsi="宋体"/>
          <w:sz w:val="24"/>
          <w:szCs w:val="24"/>
        </w:rPr>
        <w:t>2.3招标项目服务内容及要求；</w:t>
      </w:r>
    </w:p>
    <w:p>
      <w:pPr>
        <w:adjustRightInd w:val="0"/>
        <w:snapToGrid w:val="0"/>
        <w:spacing w:line="360" w:lineRule="auto"/>
        <w:ind w:firstLine="600" w:firstLineChars="250"/>
        <w:rPr>
          <w:rFonts w:ascii="宋体" w:hAnsi="宋体"/>
          <w:sz w:val="24"/>
          <w:szCs w:val="24"/>
        </w:rPr>
      </w:pPr>
      <w:r>
        <w:rPr>
          <w:rFonts w:ascii="宋体" w:hAnsi="宋体"/>
          <w:sz w:val="24"/>
          <w:szCs w:val="24"/>
        </w:rPr>
        <w:t>2.4开标、评标、定标；</w:t>
      </w:r>
    </w:p>
    <w:p>
      <w:pPr>
        <w:adjustRightInd w:val="0"/>
        <w:snapToGrid w:val="0"/>
        <w:spacing w:line="360" w:lineRule="auto"/>
        <w:ind w:firstLine="600" w:firstLineChars="250"/>
        <w:rPr>
          <w:rFonts w:ascii="宋体" w:hAnsi="宋体"/>
          <w:sz w:val="24"/>
          <w:szCs w:val="24"/>
        </w:rPr>
      </w:pPr>
      <w:r>
        <w:rPr>
          <w:rFonts w:ascii="宋体" w:hAnsi="宋体"/>
          <w:sz w:val="24"/>
          <w:szCs w:val="24"/>
        </w:rPr>
        <w:t>2.5授予合同</w:t>
      </w:r>
    </w:p>
    <w:p>
      <w:pPr>
        <w:adjustRightInd w:val="0"/>
        <w:snapToGrid w:val="0"/>
        <w:spacing w:line="360" w:lineRule="auto"/>
        <w:ind w:firstLine="600" w:firstLineChars="250"/>
        <w:rPr>
          <w:rFonts w:ascii="宋体" w:hAnsi="宋体"/>
          <w:sz w:val="24"/>
          <w:szCs w:val="24"/>
        </w:rPr>
      </w:pPr>
      <w:r>
        <w:rPr>
          <w:rFonts w:hint="eastAsia" w:ascii="宋体" w:hAnsi="宋体"/>
          <w:sz w:val="24"/>
          <w:szCs w:val="24"/>
        </w:rPr>
        <w:t>2.6合同文本</w:t>
      </w:r>
    </w:p>
    <w:p>
      <w:pPr>
        <w:adjustRightInd w:val="0"/>
        <w:snapToGrid w:val="0"/>
        <w:spacing w:line="360" w:lineRule="auto"/>
        <w:ind w:firstLine="600" w:firstLineChars="250"/>
        <w:rPr>
          <w:rFonts w:ascii="宋体" w:hAnsi="宋体"/>
          <w:sz w:val="24"/>
          <w:szCs w:val="24"/>
        </w:rPr>
      </w:pPr>
      <w:r>
        <w:rPr>
          <w:rFonts w:ascii="宋体" w:hAnsi="宋体"/>
          <w:sz w:val="24"/>
          <w:szCs w:val="24"/>
        </w:rPr>
        <w:t>2.</w:t>
      </w:r>
      <w:r>
        <w:rPr>
          <w:rFonts w:hint="eastAsia" w:ascii="宋体" w:hAnsi="宋体"/>
          <w:sz w:val="24"/>
          <w:szCs w:val="24"/>
        </w:rPr>
        <w:t>7</w:t>
      </w:r>
      <w:r>
        <w:rPr>
          <w:rFonts w:ascii="宋体" w:hAnsi="宋体"/>
          <w:sz w:val="24"/>
          <w:szCs w:val="24"/>
        </w:rPr>
        <w:t>纪律与保密；</w:t>
      </w:r>
    </w:p>
    <w:p>
      <w:pPr>
        <w:adjustRightInd w:val="0"/>
        <w:snapToGrid w:val="0"/>
        <w:spacing w:line="360" w:lineRule="auto"/>
        <w:ind w:firstLine="600" w:firstLineChars="250"/>
        <w:rPr>
          <w:rFonts w:ascii="宋体" w:hAnsi="宋体"/>
          <w:sz w:val="24"/>
          <w:szCs w:val="24"/>
        </w:rPr>
      </w:pPr>
      <w:r>
        <w:rPr>
          <w:rFonts w:ascii="宋体" w:hAnsi="宋体"/>
          <w:sz w:val="24"/>
          <w:szCs w:val="24"/>
        </w:rPr>
        <w:t>2.</w:t>
      </w:r>
      <w:r>
        <w:rPr>
          <w:rFonts w:hint="eastAsia" w:ascii="宋体" w:hAnsi="宋体"/>
          <w:sz w:val="24"/>
          <w:szCs w:val="24"/>
        </w:rPr>
        <w:t>8</w:t>
      </w:r>
      <w:r>
        <w:rPr>
          <w:rFonts w:ascii="宋体" w:hAnsi="宋体"/>
          <w:sz w:val="24"/>
          <w:szCs w:val="24"/>
        </w:rPr>
        <w:t>投标文件相关格式附件。</w:t>
      </w:r>
    </w:p>
    <w:p>
      <w:pPr>
        <w:adjustRightInd w:val="0"/>
        <w:snapToGrid w:val="0"/>
        <w:spacing w:line="360" w:lineRule="auto"/>
        <w:ind w:firstLine="602" w:firstLineChars="250"/>
        <w:rPr>
          <w:rFonts w:ascii="宋体" w:hAnsi="宋体"/>
          <w:b/>
          <w:bCs/>
          <w:sz w:val="24"/>
          <w:szCs w:val="24"/>
        </w:rPr>
      </w:pPr>
      <w:r>
        <w:rPr>
          <w:rFonts w:ascii="宋体" w:hAnsi="宋体"/>
          <w:b/>
          <w:bCs/>
          <w:sz w:val="24"/>
          <w:szCs w:val="24"/>
        </w:rPr>
        <w:t>3、招标文件的修改</w:t>
      </w:r>
    </w:p>
    <w:p>
      <w:pPr>
        <w:pStyle w:val="12"/>
        <w:adjustRightInd w:val="0"/>
        <w:snapToGrid w:val="0"/>
        <w:spacing w:line="360" w:lineRule="auto"/>
        <w:ind w:firstLine="480"/>
        <w:rPr>
          <w:rFonts w:ascii="宋体" w:hAnsi="宋体"/>
          <w:sz w:val="24"/>
          <w:szCs w:val="24"/>
        </w:rPr>
      </w:pPr>
      <w:r>
        <w:rPr>
          <w:rFonts w:ascii="宋体" w:hAnsi="宋体"/>
          <w:sz w:val="24"/>
          <w:szCs w:val="24"/>
        </w:rPr>
        <w:t>招标人在投标截止日前的任何时候，可因任何原因，对招标文件进行修改，这种修改可能是招标人主动做出的，也可能是为了解答投标人要求澄清的问题而做出的。修改书是招标文件的组成部分，将以书面方式发给所有获得招标文件的单位，并对所有投标人起约束作用。投标人收到修改书后，应立即以书面方式通知招标人，确认已收到修改书。</w:t>
      </w:r>
    </w:p>
    <w:p>
      <w:pPr>
        <w:adjustRightInd w:val="0"/>
        <w:snapToGrid w:val="0"/>
        <w:spacing w:line="360" w:lineRule="auto"/>
        <w:ind w:firstLine="467" w:firstLineChars="194"/>
        <w:rPr>
          <w:rFonts w:ascii="宋体" w:hAnsi="宋体"/>
          <w:b/>
          <w:bCs/>
          <w:sz w:val="24"/>
          <w:szCs w:val="24"/>
        </w:rPr>
      </w:pPr>
      <w:r>
        <w:rPr>
          <w:rFonts w:ascii="宋体" w:hAnsi="宋体"/>
          <w:b/>
          <w:bCs/>
          <w:sz w:val="24"/>
          <w:szCs w:val="24"/>
        </w:rPr>
        <w:t>4、本次招标不接受联合体投标</w:t>
      </w:r>
    </w:p>
    <w:p>
      <w:pPr>
        <w:pStyle w:val="12"/>
        <w:adjustRightInd w:val="0"/>
        <w:snapToGrid w:val="0"/>
        <w:spacing w:line="360" w:lineRule="auto"/>
        <w:ind w:firstLine="482"/>
        <w:rPr>
          <w:rFonts w:ascii="宋体" w:hAnsi="宋体"/>
          <w:sz w:val="24"/>
          <w:szCs w:val="24"/>
        </w:rPr>
      </w:pPr>
      <w:r>
        <w:rPr>
          <w:rFonts w:ascii="宋体" w:hAnsi="宋体"/>
          <w:b/>
          <w:bCs/>
          <w:sz w:val="24"/>
          <w:szCs w:val="24"/>
        </w:rPr>
        <w:t>5、</w:t>
      </w:r>
      <w:r>
        <w:rPr>
          <w:rFonts w:ascii="宋体" w:hAnsi="宋体"/>
          <w:sz w:val="24"/>
          <w:szCs w:val="24"/>
        </w:rPr>
        <w:t>所有参加投标的投标人递交的投标文件将按有关规定予以存档，无论中标与否，投标人递交的一切投标材料均不予退还。</w:t>
      </w:r>
    </w:p>
    <w:p>
      <w:pPr>
        <w:pStyle w:val="12"/>
        <w:adjustRightInd w:val="0"/>
        <w:snapToGrid w:val="0"/>
        <w:spacing w:line="360" w:lineRule="auto"/>
        <w:ind w:firstLine="482"/>
        <w:rPr>
          <w:rFonts w:ascii="宋体" w:hAnsi="宋体"/>
          <w:sz w:val="24"/>
          <w:szCs w:val="24"/>
        </w:rPr>
      </w:pPr>
      <w:r>
        <w:rPr>
          <w:rFonts w:ascii="宋体" w:hAnsi="宋体"/>
          <w:b/>
          <w:bCs/>
          <w:sz w:val="24"/>
          <w:szCs w:val="24"/>
        </w:rPr>
        <w:t>6、</w:t>
      </w:r>
      <w:r>
        <w:rPr>
          <w:rFonts w:ascii="宋体" w:hAnsi="宋体"/>
          <w:sz w:val="24"/>
          <w:szCs w:val="24"/>
        </w:rPr>
        <w:t>本次招标文件最终解释权归</w:t>
      </w:r>
      <w:r>
        <w:rPr>
          <w:rFonts w:hint="eastAsia" w:ascii="宋体" w:hAnsi="宋体"/>
          <w:sz w:val="24"/>
          <w:szCs w:val="24"/>
        </w:rPr>
        <w:t>：青岛特殊钢铁有限公司</w:t>
      </w:r>
      <w:r>
        <w:rPr>
          <w:rFonts w:ascii="宋体" w:hAnsi="宋体"/>
          <w:sz w:val="24"/>
          <w:szCs w:val="24"/>
        </w:rPr>
        <w:t>。</w:t>
      </w:r>
    </w:p>
    <w:p>
      <w:pPr>
        <w:adjustRightInd w:val="0"/>
        <w:snapToGrid w:val="0"/>
        <w:spacing w:line="360" w:lineRule="auto"/>
        <w:ind w:firstLine="354" w:firstLineChars="147"/>
        <w:outlineLvl w:val="1"/>
        <w:rPr>
          <w:rFonts w:ascii="宋体" w:hAnsi="宋体"/>
          <w:b/>
          <w:sz w:val="24"/>
          <w:szCs w:val="24"/>
        </w:rPr>
      </w:pPr>
      <w:r>
        <w:rPr>
          <w:rFonts w:ascii="宋体" w:hAnsi="宋体"/>
          <w:b/>
          <w:sz w:val="24"/>
          <w:szCs w:val="24"/>
        </w:rPr>
        <w:t>二、投标文件的编制</w:t>
      </w:r>
    </w:p>
    <w:p>
      <w:pPr>
        <w:adjustRightInd w:val="0"/>
        <w:snapToGrid w:val="0"/>
        <w:spacing w:line="360" w:lineRule="auto"/>
        <w:ind w:firstLine="646"/>
        <w:rPr>
          <w:rFonts w:ascii="宋体" w:hAnsi="宋体"/>
          <w:b/>
          <w:sz w:val="24"/>
          <w:szCs w:val="24"/>
        </w:rPr>
      </w:pPr>
      <w:r>
        <w:rPr>
          <w:rFonts w:ascii="宋体" w:hAnsi="宋体"/>
          <w:b/>
          <w:sz w:val="24"/>
          <w:szCs w:val="24"/>
        </w:rPr>
        <w:t>1、投标文件的语言文字</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除专用术语外，与招标投标有关的语言均使用中文。必要时专用术语应附有中文注释。</w:t>
      </w:r>
    </w:p>
    <w:p>
      <w:pPr>
        <w:adjustRightInd w:val="0"/>
        <w:snapToGrid w:val="0"/>
        <w:spacing w:line="360" w:lineRule="auto"/>
        <w:ind w:firstLine="646"/>
        <w:rPr>
          <w:rFonts w:ascii="宋体" w:hAnsi="宋体"/>
          <w:b/>
          <w:sz w:val="24"/>
          <w:szCs w:val="24"/>
        </w:rPr>
      </w:pPr>
      <w:r>
        <w:rPr>
          <w:rFonts w:ascii="宋体" w:hAnsi="宋体"/>
          <w:b/>
          <w:sz w:val="24"/>
          <w:szCs w:val="24"/>
        </w:rPr>
        <w:t>2、投标文件的组成</w:t>
      </w:r>
    </w:p>
    <w:p>
      <w:pPr>
        <w:adjustRightInd w:val="0"/>
        <w:snapToGrid w:val="0"/>
        <w:spacing w:line="360" w:lineRule="auto"/>
        <w:ind w:firstLine="480" w:firstLineChars="200"/>
        <w:rPr>
          <w:rFonts w:ascii="宋体" w:hAnsi="宋体"/>
          <w:sz w:val="24"/>
          <w:szCs w:val="24"/>
        </w:rPr>
      </w:pPr>
      <w:r>
        <w:rPr>
          <w:rFonts w:ascii="宋体" w:hAnsi="宋体"/>
          <w:sz w:val="24"/>
          <w:szCs w:val="24"/>
        </w:rPr>
        <w:t>2.1投标人应严格按照招标文件所规定的格式和内容要求编制投标文件，可以适当进行拓展。如有修改，应由投标人授权代表在修改处签名或盖章。投标文件对招标文件未提出异议的条款，均被视为接受和同意。投标文件与招标文件有差异之处，无论多么微小，均应按招标文件规定的格式统一汇总说明。</w:t>
      </w:r>
    </w:p>
    <w:p>
      <w:pPr>
        <w:spacing w:line="600" w:lineRule="exact"/>
        <w:ind w:firstLine="480" w:firstLineChars="200"/>
        <w:rPr>
          <w:rFonts w:ascii="宋体" w:hAnsi="宋体"/>
          <w:sz w:val="24"/>
          <w:szCs w:val="24"/>
        </w:rPr>
      </w:pPr>
      <w:r>
        <w:rPr>
          <w:rFonts w:hint="eastAsia" w:ascii="宋体" w:hAnsi="宋体"/>
          <w:sz w:val="24"/>
          <w:szCs w:val="24"/>
        </w:rPr>
        <w:t>2.2投标文件形式:</w:t>
      </w:r>
      <w:r>
        <w:rPr>
          <w:rFonts w:hint="eastAsia" w:ascii="仿宋_GB2312" w:eastAsia="仿宋_GB2312"/>
          <w:sz w:val="24"/>
          <w:szCs w:val="24"/>
        </w:rPr>
        <w:t xml:space="preserve"> </w:t>
      </w:r>
      <w:r>
        <w:rPr>
          <w:rFonts w:hint="eastAsia" w:ascii="宋体" w:hAnsi="宋体"/>
          <w:sz w:val="24"/>
          <w:szCs w:val="24"/>
        </w:rPr>
        <w:t>投标文件由资格审查标书、技术标书、商务标书组成。资格审查标书1份，技术标书 5份，商务标书正本1份，副本4份（商务标书的封面上应清楚地标记“正本”、“副本”的字样；技术标书不分正副本）。以上资料分别单独密封，密封处加盖投标人公章及法定代表人印鉴。投标文件必须清晰、整齐，使用A4纸打印或复印，并统一装订成册。</w:t>
      </w:r>
    </w:p>
    <w:p>
      <w:pPr>
        <w:spacing w:line="600" w:lineRule="exact"/>
        <w:ind w:firstLine="480" w:firstLineChars="200"/>
        <w:rPr>
          <w:rFonts w:ascii="宋体" w:hAnsi="宋体"/>
          <w:sz w:val="24"/>
          <w:szCs w:val="24"/>
        </w:rPr>
      </w:pPr>
      <w:r>
        <w:rPr>
          <w:rFonts w:hint="eastAsia" w:ascii="宋体" w:hAnsi="宋体"/>
          <w:sz w:val="24"/>
          <w:szCs w:val="24"/>
        </w:rPr>
        <w:t>2.3资格审查标书主要内容</w:t>
      </w:r>
    </w:p>
    <w:p>
      <w:pPr>
        <w:spacing w:line="600" w:lineRule="exact"/>
        <w:ind w:firstLine="480" w:firstLineChars="200"/>
        <w:rPr>
          <w:rFonts w:ascii="宋体" w:hAnsi="宋体"/>
          <w:sz w:val="24"/>
          <w:szCs w:val="24"/>
        </w:rPr>
      </w:pPr>
      <w:r>
        <w:rPr>
          <w:rFonts w:hint="eastAsia" w:ascii="宋体" w:hAnsi="宋体"/>
          <w:sz w:val="24"/>
          <w:szCs w:val="24"/>
        </w:rPr>
        <w:t>按以下顺序装订后装袋密封，密封袋上注明“资格标书”字样和项目名称、交易登记号、所投标段、投标人全称，密封处加盖投标人公章和法定代表人印章。</w:t>
      </w:r>
    </w:p>
    <w:p>
      <w:pPr>
        <w:spacing w:line="600" w:lineRule="exact"/>
        <w:ind w:firstLine="480" w:firstLineChars="200"/>
        <w:rPr>
          <w:rFonts w:ascii="宋体" w:hAnsi="宋体"/>
          <w:sz w:val="24"/>
          <w:szCs w:val="24"/>
        </w:rPr>
      </w:pPr>
      <w:r>
        <w:rPr>
          <w:rFonts w:hint="eastAsia" w:ascii="宋体" w:hAnsi="宋体"/>
          <w:sz w:val="24"/>
          <w:szCs w:val="24"/>
        </w:rPr>
        <w:t>2.3.1 投标人法定代表人资格证明或法定代表人授权委托书，委托代理人的身份证、等；</w:t>
      </w:r>
    </w:p>
    <w:p>
      <w:pPr>
        <w:spacing w:line="600" w:lineRule="exact"/>
        <w:ind w:firstLine="480" w:firstLineChars="200"/>
        <w:rPr>
          <w:rFonts w:ascii="宋体" w:hAnsi="宋体"/>
          <w:sz w:val="24"/>
          <w:szCs w:val="24"/>
        </w:rPr>
      </w:pPr>
      <w:r>
        <w:rPr>
          <w:rFonts w:hint="eastAsia" w:ascii="宋体" w:hAnsi="宋体"/>
          <w:sz w:val="24"/>
          <w:szCs w:val="24"/>
        </w:rPr>
        <w:t>2.3.2 经年检合格的投标人法人营业执照副本、资质证书副本、税务登记证副本； </w:t>
      </w:r>
    </w:p>
    <w:p>
      <w:pPr>
        <w:spacing w:line="600" w:lineRule="exact"/>
        <w:ind w:firstLine="480" w:firstLineChars="200"/>
        <w:rPr>
          <w:rFonts w:ascii="宋体" w:hAnsi="宋体"/>
          <w:sz w:val="24"/>
          <w:szCs w:val="24"/>
        </w:rPr>
      </w:pPr>
      <w:r>
        <w:rPr>
          <w:rFonts w:hint="eastAsia" w:ascii="宋体" w:hAnsi="宋体"/>
          <w:sz w:val="24"/>
          <w:szCs w:val="24"/>
        </w:rPr>
        <w:t>2.3.3 投标人近六年（2009年1月1日至今）完成的同类工程业绩合同；</w:t>
      </w:r>
    </w:p>
    <w:p>
      <w:pPr>
        <w:spacing w:line="360" w:lineRule="auto"/>
        <w:ind w:firstLine="480" w:firstLineChars="200"/>
        <w:rPr>
          <w:rFonts w:ascii="宋体" w:hAnsi="宋体"/>
          <w:sz w:val="24"/>
          <w:szCs w:val="24"/>
        </w:rPr>
      </w:pPr>
      <w:r>
        <w:rPr>
          <w:rFonts w:hint="eastAsia" w:ascii="宋体" w:hAnsi="宋体"/>
          <w:sz w:val="24"/>
          <w:szCs w:val="24"/>
        </w:rPr>
        <w:t xml:space="preserve">2.4 </w:t>
      </w:r>
      <w:r>
        <w:rPr>
          <w:rFonts w:hint="eastAsia" w:ascii="宋体" w:hAnsi="宋体"/>
          <w:b/>
          <w:sz w:val="24"/>
          <w:szCs w:val="24"/>
        </w:rPr>
        <w:t>投标文件商务标书主要内容</w:t>
      </w:r>
      <w:r>
        <w:rPr>
          <w:rFonts w:hint="eastAsia"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2.4</w:t>
      </w:r>
      <w:r>
        <w:rPr>
          <w:rFonts w:ascii="宋体" w:hAnsi="宋体"/>
          <w:sz w:val="24"/>
          <w:szCs w:val="24"/>
        </w:rPr>
        <w:t>.1投标书（附件一）；</w:t>
      </w:r>
    </w:p>
    <w:p>
      <w:pPr>
        <w:spacing w:line="360" w:lineRule="auto"/>
        <w:ind w:firstLine="480" w:firstLineChars="200"/>
        <w:rPr>
          <w:rFonts w:ascii="宋体" w:hAnsi="宋体"/>
          <w:sz w:val="24"/>
          <w:szCs w:val="24"/>
        </w:rPr>
      </w:pPr>
      <w:r>
        <w:rPr>
          <w:rFonts w:hint="eastAsia" w:ascii="宋体" w:hAnsi="宋体"/>
          <w:sz w:val="24"/>
          <w:szCs w:val="24"/>
        </w:rPr>
        <w:t>2.4</w:t>
      </w:r>
      <w:r>
        <w:rPr>
          <w:rFonts w:ascii="宋体" w:hAnsi="宋体"/>
          <w:sz w:val="24"/>
          <w:szCs w:val="24"/>
        </w:rPr>
        <w:t>.2开标一览表</w:t>
      </w:r>
      <w:r>
        <w:rPr>
          <w:rFonts w:hint="eastAsia" w:ascii="宋体" w:hAnsi="宋体"/>
          <w:sz w:val="24"/>
          <w:szCs w:val="24"/>
        </w:rPr>
        <w:t>及分项报价表</w:t>
      </w:r>
      <w:r>
        <w:rPr>
          <w:rFonts w:ascii="宋体" w:hAnsi="宋体"/>
          <w:sz w:val="24"/>
          <w:szCs w:val="24"/>
        </w:rPr>
        <w:t>（附件二）</w:t>
      </w:r>
    </w:p>
    <w:p>
      <w:pPr>
        <w:spacing w:line="360" w:lineRule="auto"/>
        <w:rPr>
          <w:rFonts w:ascii="宋体" w:hAnsi="宋体"/>
          <w:sz w:val="24"/>
          <w:szCs w:val="24"/>
        </w:rPr>
      </w:pPr>
      <w:r>
        <w:rPr>
          <w:rFonts w:hint="eastAsia" w:ascii="宋体" w:hAnsi="宋体"/>
          <w:sz w:val="24"/>
          <w:szCs w:val="24"/>
        </w:rPr>
        <w:t xml:space="preserve">    2.4</w:t>
      </w:r>
      <w:r>
        <w:rPr>
          <w:rFonts w:ascii="宋体" w:hAnsi="宋体"/>
          <w:sz w:val="24"/>
          <w:szCs w:val="24"/>
        </w:rPr>
        <w:t>.</w:t>
      </w:r>
      <w:r>
        <w:rPr>
          <w:rFonts w:hint="eastAsia" w:ascii="宋体" w:hAnsi="宋体"/>
          <w:sz w:val="24"/>
          <w:szCs w:val="24"/>
        </w:rPr>
        <w:t>3</w:t>
      </w:r>
      <w:r>
        <w:rPr>
          <w:rFonts w:ascii="宋体" w:hAnsi="宋体"/>
          <w:sz w:val="24"/>
          <w:szCs w:val="24"/>
        </w:rPr>
        <w:t>授权委托书（附件</w:t>
      </w:r>
      <w:r>
        <w:rPr>
          <w:rFonts w:hint="eastAsia" w:ascii="宋体" w:hAnsi="宋体"/>
          <w:sz w:val="24"/>
          <w:szCs w:val="24"/>
        </w:rPr>
        <w:t>三</w:t>
      </w:r>
      <w:r>
        <w:rPr>
          <w:rFonts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2.4</w:t>
      </w:r>
      <w:r>
        <w:rPr>
          <w:rFonts w:ascii="宋体" w:hAnsi="宋体"/>
          <w:sz w:val="24"/>
          <w:szCs w:val="24"/>
        </w:rPr>
        <w:t>.</w:t>
      </w:r>
      <w:r>
        <w:rPr>
          <w:rFonts w:hint="eastAsia" w:ascii="宋体" w:hAnsi="宋体"/>
          <w:sz w:val="24"/>
          <w:szCs w:val="24"/>
        </w:rPr>
        <w:t>4</w:t>
      </w:r>
      <w:r>
        <w:rPr>
          <w:rFonts w:ascii="宋体" w:hAnsi="宋体"/>
          <w:sz w:val="24"/>
          <w:szCs w:val="24"/>
        </w:rPr>
        <w:t>投标人业绩与业务能力（附件</w:t>
      </w:r>
      <w:r>
        <w:rPr>
          <w:rFonts w:hint="eastAsia" w:ascii="宋体" w:hAnsi="宋体"/>
          <w:sz w:val="24"/>
          <w:szCs w:val="24"/>
        </w:rPr>
        <w:t>四</w:t>
      </w:r>
      <w:r>
        <w:rPr>
          <w:rFonts w:ascii="宋体" w:hAnsi="宋体"/>
          <w:sz w:val="24"/>
          <w:szCs w:val="24"/>
        </w:rPr>
        <w:t>）；</w:t>
      </w:r>
    </w:p>
    <w:p>
      <w:pPr>
        <w:spacing w:line="360" w:lineRule="auto"/>
        <w:ind w:firstLine="480" w:firstLineChars="200"/>
        <w:rPr>
          <w:rFonts w:ascii="宋体" w:hAnsi="宋体"/>
          <w:sz w:val="24"/>
          <w:szCs w:val="24"/>
        </w:rPr>
      </w:pPr>
      <w:r>
        <w:rPr>
          <w:rFonts w:hint="eastAsia" w:ascii="宋体" w:hAnsi="宋体"/>
          <w:sz w:val="24"/>
          <w:szCs w:val="24"/>
        </w:rPr>
        <w:t>2.4</w:t>
      </w:r>
      <w:r>
        <w:rPr>
          <w:rFonts w:ascii="宋体" w:hAnsi="宋体"/>
          <w:sz w:val="24"/>
          <w:szCs w:val="24"/>
        </w:rPr>
        <w:t>.</w:t>
      </w:r>
      <w:r>
        <w:rPr>
          <w:rFonts w:hint="eastAsia" w:ascii="宋体" w:hAnsi="宋体"/>
          <w:sz w:val="24"/>
          <w:szCs w:val="24"/>
        </w:rPr>
        <w:t>5</w:t>
      </w:r>
      <w:r>
        <w:rPr>
          <w:rFonts w:ascii="宋体" w:hAnsi="宋体"/>
          <w:sz w:val="24"/>
          <w:szCs w:val="24"/>
        </w:rPr>
        <w:t>专职专业人员情况表（附件</w:t>
      </w:r>
      <w:r>
        <w:rPr>
          <w:rFonts w:hint="eastAsia" w:ascii="宋体" w:hAnsi="宋体"/>
          <w:sz w:val="24"/>
          <w:szCs w:val="24"/>
        </w:rPr>
        <w:t>五</w:t>
      </w:r>
      <w:r>
        <w:rPr>
          <w:rFonts w:ascii="宋体" w:hAnsi="宋体"/>
          <w:sz w:val="24"/>
          <w:szCs w:val="24"/>
        </w:rPr>
        <w:t>）；</w:t>
      </w:r>
      <w:r>
        <w:rPr>
          <w:rFonts w:hint="eastAsia" w:ascii="宋体" w:hAnsi="宋体"/>
          <w:sz w:val="24"/>
          <w:szCs w:val="24"/>
        </w:rPr>
        <w:t>（后附职称证等证件）</w:t>
      </w:r>
    </w:p>
    <w:p>
      <w:pPr>
        <w:spacing w:line="360" w:lineRule="auto"/>
        <w:ind w:firstLine="480" w:firstLineChars="200"/>
        <w:rPr>
          <w:rFonts w:ascii="宋体" w:hAnsi="宋体"/>
          <w:bCs/>
          <w:sz w:val="24"/>
          <w:szCs w:val="24"/>
        </w:rPr>
      </w:pPr>
      <w:r>
        <w:rPr>
          <w:rFonts w:hint="eastAsia" w:ascii="宋体" w:hAnsi="宋体"/>
          <w:sz w:val="24"/>
          <w:szCs w:val="24"/>
        </w:rPr>
        <w:t>2.4</w:t>
      </w:r>
      <w:r>
        <w:rPr>
          <w:rFonts w:ascii="宋体" w:hAnsi="宋体"/>
          <w:sz w:val="24"/>
          <w:szCs w:val="24"/>
        </w:rPr>
        <w:t>.</w:t>
      </w:r>
      <w:r>
        <w:rPr>
          <w:rFonts w:hint="eastAsia" w:ascii="宋体" w:hAnsi="宋体"/>
          <w:sz w:val="24"/>
          <w:szCs w:val="24"/>
        </w:rPr>
        <w:t>6</w:t>
      </w:r>
      <w:r>
        <w:rPr>
          <w:rFonts w:hint="eastAsia" w:ascii="宋体" w:hAnsi="宋体"/>
          <w:bCs/>
          <w:sz w:val="24"/>
          <w:szCs w:val="24"/>
        </w:rPr>
        <w:t>商务偏离（附件六）</w:t>
      </w:r>
    </w:p>
    <w:p>
      <w:pPr>
        <w:spacing w:line="360" w:lineRule="auto"/>
        <w:ind w:firstLine="480" w:firstLineChars="200"/>
        <w:rPr>
          <w:rFonts w:ascii="宋体" w:hAnsi="宋体"/>
          <w:sz w:val="24"/>
          <w:szCs w:val="24"/>
        </w:rPr>
      </w:pPr>
      <w:r>
        <w:rPr>
          <w:rFonts w:hint="eastAsia" w:ascii="宋体" w:hAnsi="宋体"/>
          <w:sz w:val="24"/>
        </w:rPr>
        <w:t>2.4.7投标人认为需加以说明的其它内容。</w:t>
      </w:r>
    </w:p>
    <w:p>
      <w:pPr>
        <w:spacing w:line="360" w:lineRule="auto"/>
        <w:ind w:firstLine="480" w:firstLineChars="200"/>
        <w:rPr>
          <w:rFonts w:ascii="宋体" w:hAnsi="宋体"/>
          <w:sz w:val="24"/>
          <w:szCs w:val="24"/>
        </w:rPr>
      </w:pPr>
      <w:r>
        <w:rPr>
          <w:rFonts w:hint="eastAsia" w:ascii="宋体" w:hAnsi="宋体"/>
          <w:sz w:val="24"/>
          <w:szCs w:val="24"/>
        </w:rPr>
        <w:t>2.4.8</w:t>
      </w:r>
      <w:r>
        <w:rPr>
          <w:rFonts w:ascii="宋体" w:hAnsi="宋体"/>
          <w:sz w:val="24"/>
          <w:szCs w:val="24"/>
        </w:rPr>
        <w:t>投标人须在投标文件中提供的企业相关证件、证明的复印件</w:t>
      </w:r>
    </w:p>
    <w:p>
      <w:pPr>
        <w:spacing w:line="360" w:lineRule="auto"/>
        <w:ind w:firstLine="480" w:firstLineChars="200"/>
        <w:rPr>
          <w:rFonts w:ascii="宋体" w:hAnsi="宋体"/>
          <w:bCs/>
          <w:sz w:val="24"/>
          <w:szCs w:val="24"/>
        </w:rPr>
      </w:pPr>
      <w:r>
        <w:rPr>
          <w:rFonts w:hint="eastAsia" w:ascii="宋体" w:hAnsi="宋体"/>
          <w:sz w:val="24"/>
          <w:szCs w:val="24"/>
        </w:rPr>
        <w:t>注：投标文件须加企业公章和法定代表人印章。</w:t>
      </w:r>
      <w:r>
        <w:rPr>
          <w:rFonts w:ascii="宋体" w:hAnsi="宋体"/>
          <w:sz w:val="24"/>
          <w:szCs w:val="24"/>
        </w:rPr>
        <w:t>至少应包含但不限于以下内容：</w:t>
      </w:r>
    </w:p>
    <w:p>
      <w:pPr>
        <w:spacing w:line="360" w:lineRule="auto"/>
        <w:ind w:firstLine="480" w:firstLineChars="200"/>
        <w:rPr>
          <w:rFonts w:ascii="宋体" w:hAnsi="宋体"/>
          <w:sz w:val="24"/>
          <w:szCs w:val="24"/>
        </w:rPr>
      </w:pPr>
      <w:r>
        <w:rPr>
          <w:rFonts w:ascii="宋体" w:hAnsi="宋体"/>
          <w:sz w:val="24"/>
          <w:szCs w:val="24"/>
        </w:rPr>
        <w:t>①营业执照（副本）；</w:t>
      </w:r>
    </w:p>
    <w:p>
      <w:pPr>
        <w:spacing w:line="360" w:lineRule="auto"/>
        <w:ind w:firstLine="480" w:firstLineChars="200"/>
        <w:rPr>
          <w:rFonts w:ascii="宋体" w:hAnsi="宋体"/>
          <w:sz w:val="24"/>
          <w:szCs w:val="24"/>
        </w:rPr>
      </w:pPr>
      <w:r>
        <w:rPr>
          <w:rFonts w:ascii="宋体" w:hAnsi="宋体"/>
          <w:sz w:val="24"/>
          <w:szCs w:val="24"/>
        </w:rPr>
        <w:t>②按照评标要求，企业应提交的其他证明文件；</w:t>
      </w:r>
    </w:p>
    <w:p>
      <w:pPr>
        <w:spacing w:line="360" w:lineRule="auto"/>
        <w:ind w:firstLine="480" w:firstLineChars="200"/>
        <w:rPr>
          <w:rFonts w:ascii="宋体" w:hAnsi="宋体"/>
          <w:sz w:val="24"/>
          <w:szCs w:val="24"/>
        </w:rPr>
      </w:pPr>
      <w:r>
        <w:rPr>
          <w:rFonts w:ascii="宋体" w:hAnsi="宋体"/>
          <w:sz w:val="24"/>
          <w:szCs w:val="24"/>
        </w:rPr>
        <w:t>③招标文件中有相应要求而上述投标文件组成中未提到的材料。</w:t>
      </w:r>
    </w:p>
    <w:p>
      <w:pPr>
        <w:spacing w:line="360" w:lineRule="auto"/>
        <w:ind w:firstLine="480" w:firstLineChars="200"/>
        <w:rPr>
          <w:rFonts w:ascii="宋体" w:hAnsi="宋体"/>
          <w:bCs/>
          <w:sz w:val="24"/>
          <w:szCs w:val="24"/>
        </w:rPr>
      </w:pPr>
      <w:r>
        <w:rPr>
          <w:rFonts w:hint="eastAsia" w:ascii="宋体" w:hAnsi="宋体"/>
          <w:bCs/>
          <w:sz w:val="24"/>
          <w:szCs w:val="24"/>
        </w:rPr>
        <w:t>2.5 投标文件技术标书主要内容包括（但不限于）：</w:t>
      </w:r>
    </w:p>
    <w:p>
      <w:pPr>
        <w:spacing w:line="360" w:lineRule="auto"/>
        <w:ind w:firstLine="480" w:firstLineChars="200"/>
        <w:rPr>
          <w:rFonts w:ascii="宋体" w:hAnsi="宋体"/>
          <w:bCs/>
          <w:sz w:val="24"/>
          <w:szCs w:val="24"/>
        </w:rPr>
      </w:pPr>
      <w:r>
        <w:rPr>
          <w:rFonts w:hint="eastAsia" w:ascii="宋体" w:hAnsi="宋体"/>
          <w:bCs/>
          <w:sz w:val="24"/>
          <w:szCs w:val="24"/>
        </w:rPr>
        <w:t>2.5.1</w:t>
      </w:r>
      <w:r>
        <w:rPr>
          <w:rFonts w:hint="eastAsia" w:ascii="宋体" w:hAnsi="宋体"/>
          <w:sz w:val="24"/>
        </w:rPr>
        <w:t>技术方案和工作目标</w:t>
      </w:r>
      <w:r>
        <w:rPr>
          <w:rFonts w:hint="eastAsia" w:ascii="宋体" w:hAnsi="宋体"/>
          <w:bCs/>
          <w:sz w:val="24"/>
          <w:szCs w:val="24"/>
        </w:rPr>
        <w:t>；</w:t>
      </w:r>
    </w:p>
    <w:p>
      <w:pPr>
        <w:spacing w:line="360" w:lineRule="auto"/>
        <w:ind w:firstLine="480" w:firstLineChars="200"/>
        <w:rPr>
          <w:rFonts w:ascii="宋体" w:hAnsi="宋体"/>
          <w:bCs/>
          <w:sz w:val="24"/>
          <w:szCs w:val="24"/>
        </w:rPr>
      </w:pPr>
      <w:r>
        <w:rPr>
          <w:rFonts w:hint="eastAsia" w:ascii="宋体" w:hAnsi="宋体"/>
          <w:bCs/>
          <w:sz w:val="24"/>
          <w:szCs w:val="24"/>
        </w:rPr>
        <w:t xml:space="preserve">2.5.2 </w:t>
      </w:r>
      <w:r>
        <w:rPr>
          <w:rFonts w:hint="eastAsia" w:ascii="宋体" w:hAnsi="宋体"/>
          <w:sz w:val="24"/>
        </w:rPr>
        <w:t>岗位职责</w:t>
      </w:r>
      <w:r>
        <w:rPr>
          <w:rFonts w:hint="eastAsia" w:ascii="宋体" w:hAnsi="宋体"/>
          <w:bCs/>
          <w:sz w:val="24"/>
          <w:szCs w:val="24"/>
        </w:rPr>
        <w:t>；</w:t>
      </w:r>
    </w:p>
    <w:p>
      <w:pPr>
        <w:spacing w:line="360" w:lineRule="auto"/>
        <w:ind w:firstLine="480" w:firstLineChars="200"/>
        <w:rPr>
          <w:rFonts w:ascii="宋体" w:hAnsi="宋体"/>
          <w:bCs/>
          <w:sz w:val="24"/>
          <w:szCs w:val="24"/>
        </w:rPr>
      </w:pPr>
      <w:r>
        <w:rPr>
          <w:rFonts w:hint="eastAsia" w:ascii="宋体" w:hAnsi="宋体"/>
          <w:bCs/>
          <w:sz w:val="24"/>
          <w:szCs w:val="24"/>
        </w:rPr>
        <w:t>2.5.3</w:t>
      </w:r>
      <w:r>
        <w:rPr>
          <w:rFonts w:hint="eastAsia" w:ascii="宋体" w:hAnsi="宋体"/>
          <w:sz w:val="24"/>
        </w:rPr>
        <w:t>施工阶段技术服务全过程控制措施（含对本项目的重难点分析）</w:t>
      </w:r>
      <w:r>
        <w:rPr>
          <w:rFonts w:hint="eastAsia" w:ascii="宋体" w:hAnsi="宋体"/>
          <w:bCs/>
          <w:sz w:val="24"/>
          <w:szCs w:val="24"/>
        </w:rPr>
        <w:t>；</w:t>
      </w:r>
    </w:p>
    <w:p>
      <w:pPr>
        <w:spacing w:line="360" w:lineRule="auto"/>
        <w:ind w:firstLine="480" w:firstLineChars="200"/>
        <w:rPr>
          <w:rFonts w:ascii="宋体" w:hAnsi="宋体"/>
          <w:bCs/>
          <w:sz w:val="24"/>
          <w:szCs w:val="24"/>
        </w:rPr>
      </w:pPr>
      <w:r>
        <w:rPr>
          <w:rFonts w:hint="eastAsia" w:ascii="宋体" w:hAnsi="宋体"/>
          <w:bCs/>
          <w:sz w:val="24"/>
          <w:szCs w:val="24"/>
        </w:rPr>
        <w:t xml:space="preserve">2.5.4 </w:t>
      </w:r>
      <w:r>
        <w:rPr>
          <w:rFonts w:hint="eastAsia" w:ascii="宋体" w:hAnsi="宋体"/>
          <w:sz w:val="24"/>
        </w:rPr>
        <w:t>进度控制的</w:t>
      </w:r>
      <w:r>
        <w:rPr>
          <w:rFonts w:ascii="宋体" w:hAnsi="宋体"/>
          <w:bCs/>
          <w:sz w:val="24"/>
          <w:szCs w:val="24"/>
        </w:rPr>
        <w:t>措施</w:t>
      </w:r>
      <w:r>
        <w:rPr>
          <w:rFonts w:hint="eastAsia" w:ascii="宋体" w:hAnsi="宋体"/>
          <w:bCs/>
          <w:sz w:val="24"/>
          <w:szCs w:val="24"/>
        </w:rPr>
        <w:t>；</w:t>
      </w:r>
    </w:p>
    <w:p>
      <w:pPr>
        <w:spacing w:line="360" w:lineRule="auto"/>
        <w:ind w:firstLine="480" w:firstLineChars="200"/>
        <w:rPr>
          <w:rFonts w:ascii="宋体" w:hAnsi="宋体"/>
          <w:bCs/>
          <w:sz w:val="24"/>
          <w:szCs w:val="24"/>
        </w:rPr>
      </w:pPr>
      <w:r>
        <w:rPr>
          <w:rFonts w:hint="eastAsia" w:ascii="宋体" w:hAnsi="宋体"/>
          <w:bCs/>
          <w:sz w:val="24"/>
          <w:szCs w:val="24"/>
        </w:rPr>
        <w:t>2.5.5</w:t>
      </w:r>
      <w:r>
        <w:rPr>
          <w:rFonts w:hint="eastAsia" w:ascii="宋体" w:hAnsi="宋体"/>
          <w:sz w:val="24"/>
        </w:rPr>
        <w:t>技术数据及资料管理控制措施</w:t>
      </w:r>
      <w:r>
        <w:rPr>
          <w:rFonts w:hint="eastAsia" w:ascii="宋体" w:hAnsi="宋体"/>
          <w:bCs/>
          <w:sz w:val="24"/>
          <w:szCs w:val="24"/>
        </w:rPr>
        <w:t>；</w:t>
      </w:r>
    </w:p>
    <w:p>
      <w:pPr>
        <w:spacing w:line="360" w:lineRule="auto"/>
        <w:ind w:firstLine="480" w:firstLineChars="200"/>
        <w:rPr>
          <w:rFonts w:ascii="宋体" w:hAnsi="宋体"/>
          <w:sz w:val="24"/>
        </w:rPr>
      </w:pPr>
      <w:r>
        <w:rPr>
          <w:rFonts w:hint="eastAsia" w:ascii="宋体" w:hAnsi="宋体"/>
          <w:sz w:val="24"/>
        </w:rPr>
        <w:t>2.5.6 现场组织协调控制措施。</w:t>
      </w:r>
    </w:p>
    <w:p>
      <w:pPr>
        <w:spacing w:line="360" w:lineRule="auto"/>
        <w:ind w:firstLine="480" w:firstLineChars="200"/>
        <w:rPr>
          <w:rFonts w:ascii="宋体" w:hAnsi="宋体"/>
          <w:sz w:val="24"/>
        </w:rPr>
      </w:pPr>
      <w:r>
        <w:rPr>
          <w:rFonts w:hint="eastAsia" w:ascii="宋体" w:hAnsi="宋体"/>
          <w:sz w:val="24"/>
        </w:rPr>
        <w:t>2.5.7技术偏离（附件七）</w:t>
      </w:r>
    </w:p>
    <w:p>
      <w:pPr>
        <w:spacing w:line="360" w:lineRule="auto"/>
        <w:ind w:firstLine="480" w:firstLineChars="200"/>
        <w:rPr>
          <w:rFonts w:ascii="宋体" w:hAnsi="宋体"/>
          <w:sz w:val="24"/>
          <w:szCs w:val="24"/>
        </w:rPr>
      </w:pPr>
      <w:r>
        <w:rPr>
          <w:rFonts w:hint="eastAsia" w:ascii="宋体" w:hAnsi="宋体"/>
          <w:sz w:val="24"/>
          <w:szCs w:val="24"/>
        </w:rPr>
        <w:t>2.6 投标时出现下列情况之一，投标文件无效，招标人不予接受：</w:t>
      </w:r>
    </w:p>
    <w:p>
      <w:pPr>
        <w:tabs>
          <w:tab w:val="left" w:pos="6020"/>
        </w:tabs>
        <w:spacing w:line="360" w:lineRule="auto"/>
        <w:ind w:firstLine="480" w:firstLineChars="200"/>
        <w:rPr>
          <w:rFonts w:ascii="宋体" w:hAnsi="宋体"/>
          <w:sz w:val="24"/>
          <w:szCs w:val="24"/>
        </w:rPr>
      </w:pPr>
      <w:r>
        <w:rPr>
          <w:rFonts w:hint="eastAsia" w:ascii="宋体" w:hAnsi="宋体"/>
          <w:sz w:val="24"/>
          <w:szCs w:val="24"/>
        </w:rPr>
        <w:t>2.6.1投标文件未密封或密封处未加盖单位公章及法定代表人印章的；投标文件虽已加盖单位公章及法定代表人印章的，但字迹模糊、无法辨认的；</w:t>
      </w:r>
    </w:p>
    <w:p>
      <w:pPr>
        <w:tabs>
          <w:tab w:val="left" w:pos="6020"/>
        </w:tabs>
        <w:spacing w:line="360" w:lineRule="auto"/>
        <w:ind w:firstLine="480" w:firstLineChars="200"/>
        <w:rPr>
          <w:rFonts w:ascii="宋体" w:hAnsi="宋体"/>
          <w:sz w:val="24"/>
          <w:szCs w:val="24"/>
        </w:rPr>
      </w:pPr>
      <w:r>
        <w:rPr>
          <w:rFonts w:hint="eastAsia" w:ascii="宋体" w:hAnsi="宋体"/>
          <w:sz w:val="24"/>
          <w:szCs w:val="24"/>
        </w:rPr>
        <w:t>2.6.2逾期送达的或者未送达指定地点的；</w:t>
      </w:r>
    </w:p>
    <w:p>
      <w:pPr>
        <w:tabs>
          <w:tab w:val="left" w:pos="6020"/>
        </w:tabs>
        <w:spacing w:line="360" w:lineRule="auto"/>
        <w:ind w:firstLine="480" w:firstLineChars="200"/>
        <w:rPr>
          <w:rFonts w:ascii="宋体" w:hAnsi="宋体"/>
          <w:sz w:val="24"/>
          <w:szCs w:val="24"/>
        </w:rPr>
      </w:pPr>
      <w:r>
        <w:rPr>
          <w:rFonts w:hint="eastAsia" w:ascii="宋体" w:hAnsi="宋体"/>
          <w:sz w:val="24"/>
          <w:szCs w:val="24"/>
        </w:rPr>
        <w:t>2.6.3投标人法定代表人或委托代理人未参加开标会议的，或参加开标会议但未提供法定代表人资格证明或法定代表人授权委托书；</w:t>
      </w:r>
    </w:p>
    <w:p>
      <w:pPr>
        <w:tabs>
          <w:tab w:val="left" w:pos="6020"/>
        </w:tabs>
        <w:spacing w:line="360" w:lineRule="auto"/>
        <w:ind w:firstLine="480" w:firstLineChars="200"/>
        <w:rPr>
          <w:rFonts w:ascii="宋体" w:hAnsi="宋体"/>
          <w:sz w:val="24"/>
          <w:szCs w:val="24"/>
        </w:rPr>
      </w:pPr>
      <w:r>
        <w:rPr>
          <w:rFonts w:hint="eastAsia" w:ascii="宋体" w:hAnsi="宋体"/>
          <w:sz w:val="24"/>
          <w:szCs w:val="24"/>
        </w:rPr>
        <w:t>2.6.4参加开标的投标人名称与提交投标保证金的单位名称不一致的；</w:t>
      </w:r>
    </w:p>
    <w:p>
      <w:pPr>
        <w:tabs>
          <w:tab w:val="left" w:pos="6020"/>
        </w:tabs>
        <w:spacing w:line="360" w:lineRule="auto"/>
        <w:ind w:firstLine="480" w:firstLineChars="200"/>
        <w:rPr>
          <w:rFonts w:ascii="宋体" w:hAnsi="宋体"/>
          <w:sz w:val="24"/>
          <w:szCs w:val="24"/>
        </w:rPr>
      </w:pPr>
      <w:r>
        <w:rPr>
          <w:rFonts w:hint="eastAsia" w:ascii="宋体" w:hAnsi="宋体"/>
          <w:sz w:val="24"/>
          <w:szCs w:val="24"/>
        </w:rPr>
        <w:t>2.6.5投标人未按规定时间、方式缴纳投标保证金的；</w:t>
      </w:r>
    </w:p>
    <w:p>
      <w:pPr>
        <w:tabs>
          <w:tab w:val="left" w:pos="6020"/>
        </w:tabs>
        <w:spacing w:line="360" w:lineRule="auto"/>
        <w:ind w:firstLine="480" w:firstLineChars="200"/>
        <w:rPr>
          <w:rFonts w:ascii="宋体" w:hAnsi="宋体"/>
          <w:sz w:val="24"/>
          <w:szCs w:val="24"/>
        </w:rPr>
      </w:pPr>
      <w:r>
        <w:rPr>
          <w:rFonts w:hint="eastAsia" w:ascii="宋体" w:hAnsi="宋体"/>
          <w:sz w:val="24"/>
          <w:szCs w:val="24"/>
        </w:rPr>
        <w:t>2.6.6投标截止时间前投标人未提供营业执照副本原件或资质证书副本原件的；</w:t>
      </w:r>
    </w:p>
    <w:p>
      <w:pPr>
        <w:tabs>
          <w:tab w:val="left" w:pos="6020"/>
        </w:tabs>
        <w:spacing w:line="360" w:lineRule="auto"/>
        <w:ind w:firstLine="480" w:firstLineChars="200"/>
        <w:rPr>
          <w:rFonts w:ascii="宋体" w:hAnsi="宋体"/>
          <w:sz w:val="24"/>
          <w:szCs w:val="24"/>
        </w:rPr>
      </w:pPr>
      <w:r>
        <w:rPr>
          <w:rFonts w:hint="eastAsia" w:ascii="宋体" w:hAnsi="宋体"/>
          <w:sz w:val="24"/>
          <w:szCs w:val="24"/>
        </w:rPr>
        <w:t>2.6.7投标截止时间后投标文件再更改的；</w:t>
      </w:r>
    </w:p>
    <w:p>
      <w:pPr>
        <w:tabs>
          <w:tab w:val="left" w:pos="6020"/>
        </w:tabs>
        <w:spacing w:line="360" w:lineRule="auto"/>
        <w:ind w:firstLine="353" w:firstLineChars="147"/>
        <w:rPr>
          <w:rFonts w:ascii="宋体" w:hAnsi="宋体"/>
          <w:sz w:val="24"/>
          <w:szCs w:val="24"/>
        </w:rPr>
      </w:pPr>
      <w:r>
        <w:rPr>
          <w:rFonts w:hint="eastAsia" w:ascii="宋体" w:hAnsi="宋体"/>
          <w:sz w:val="24"/>
          <w:szCs w:val="24"/>
        </w:rPr>
        <w:t xml:space="preserve"> 2.6.8其他违反国家法律、法规及有关规定的。</w:t>
      </w:r>
    </w:p>
    <w:p>
      <w:pPr>
        <w:tabs>
          <w:tab w:val="left" w:pos="6020"/>
        </w:tabs>
        <w:spacing w:line="360" w:lineRule="auto"/>
        <w:ind w:firstLine="353" w:firstLineChars="147"/>
        <w:rPr>
          <w:rFonts w:ascii="宋体" w:hAnsi="宋体"/>
          <w:sz w:val="24"/>
          <w:szCs w:val="24"/>
        </w:rPr>
      </w:pPr>
      <w:r>
        <w:rPr>
          <w:rFonts w:hint="eastAsia" w:ascii="宋体" w:hAnsi="宋体"/>
          <w:sz w:val="24"/>
          <w:szCs w:val="24"/>
        </w:rPr>
        <w:t xml:space="preserve"> 2.7偏离</w:t>
      </w:r>
    </w:p>
    <w:p>
      <w:pPr>
        <w:tabs>
          <w:tab w:val="left" w:pos="6020"/>
        </w:tabs>
        <w:spacing w:line="360" w:lineRule="auto"/>
        <w:ind w:firstLine="353" w:firstLineChars="147"/>
        <w:rPr>
          <w:rFonts w:ascii="宋体" w:hAnsi="宋体"/>
          <w:sz w:val="24"/>
          <w:szCs w:val="24"/>
        </w:rPr>
      </w:pPr>
      <w:r>
        <w:rPr>
          <w:rFonts w:hint="eastAsia" w:ascii="宋体" w:hAnsi="宋体"/>
          <w:sz w:val="24"/>
          <w:szCs w:val="24"/>
        </w:rPr>
        <w:t xml:space="preserve"> 2.7.1商务标书、技术标书与招标书内容有偏离时，要在商务标书和技术标书中做出特别注明。</w:t>
      </w:r>
    </w:p>
    <w:p>
      <w:pPr>
        <w:adjustRightInd w:val="0"/>
        <w:snapToGrid w:val="0"/>
        <w:spacing w:line="360" w:lineRule="auto"/>
        <w:ind w:firstLine="470" w:firstLineChars="195"/>
        <w:rPr>
          <w:rFonts w:ascii="宋体" w:hAnsi="宋体"/>
          <w:b/>
          <w:sz w:val="24"/>
          <w:szCs w:val="24"/>
        </w:rPr>
      </w:pPr>
      <w:r>
        <w:rPr>
          <w:rFonts w:ascii="宋体" w:hAnsi="宋体"/>
          <w:b/>
          <w:sz w:val="24"/>
          <w:szCs w:val="24"/>
        </w:rPr>
        <w:t>三、投标文件的份数和签署</w:t>
      </w:r>
    </w:p>
    <w:p>
      <w:pPr>
        <w:adjustRightInd w:val="0"/>
        <w:snapToGrid w:val="0"/>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资格审查标书一份，商务标书一份正本，四份副本，技术标书一式五份，不分正副本。</w:t>
      </w:r>
    </w:p>
    <w:p>
      <w:pPr>
        <w:adjustRightInd w:val="0"/>
        <w:snapToGrid w:val="0"/>
        <w:spacing w:line="360" w:lineRule="auto"/>
        <w:ind w:firstLine="480" w:firstLineChars="200"/>
        <w:rPr>
          <w:rFonts w:ascii="宋体" w:hAnsi="宋体"/>
          <w:sz w:val="24"/>
          <w:szCs w:val="24"/>
        </w:rPr>
      </w:pPr>
      <w:r>
        <w:rPr>
          <w:rFonts w:ascii="宋体" w:hAnsi="宋体"/>
          <w:sz w:val="24"/>
          <w:szCs w:val="24"/>
        </w:rPr>
        <w:t>2、报价表均应由投标单位加盖公章。</w:t>
      </w:r>
    </w:p>
    <w:p>
      <w:pPr>
        <w:adjustRightInd w:val="0"/>
        <w:snapToGrid w:val="0"/>
        <w:spacing w:line="360" w:lineRule="auto"/>
        <w:ind w:firstLine="472" w:firstLineChars="196"/>
        <w:outlineLvl w:val="1"/>
        <w:rPr>
          <w:rFonts w:ascii="宋体" w:hAnsi="宋体"/>
          <w:b/>
          <w:sz w:val="24"/>
          <w:szCs w:val="24"/>
        </w:rPr>
      </w:pPr>
      <w:r>
        <w:rPr>
          <w:rFonts w:ascii="宋体" w:hAnsi="宋体"/>
          <w:b/>
          <w:sz w:val="24"/>
          <w:szCs w:val="24"/>
        </w:rPr>
        <w:t>四、投标文件的递交</w:t>
      </w:r>
    </w:p>
    <w:p>
      <w:pPr>
        <w:adjustRightInd w:val="0"/>
        <w:snapToGrid w:val="0"/>
        <w:spacing w:line="360" w:lineRule="auto"/>
        <w:ind w:firstLine="482" w:firstLineChars="200"/>
        <w:rPr>
          <w:rFonts w:ascii="宋体" w:hAnsi="宋体"/>
          <w:b/>
          <w:sz w:val="24"/>
          <w:szCs w:val="24"/>
        </w:rPr>
      </w:pPr>
      <w:r>
        <w:rPr>
          <w:rFonts w:ascii="宋体" w:hAnsi="宋体"/>
          <w:b/>
          <w:sz w:val="24"/>
          <w:szCs w:val="24"/>
        </w:rPr>
        <w:t>1、投标文件的密封与标记</w:t>
      </w:r>
    </w:p>
    <w:p>
      <w:pPr>
        <w:adjustRightInd w:val="0"/>
        <w:snapToGrid w:val="0"/>
        <w:spacing w:line="360" w:lineRule="auto"/>
        <w:ind w:firstLine="480" w:firstLineChars="200"/>
        <w:rPr>
          <w:rFonts w:ascii="宋体" w:hAnsi="宋体"/>
          <w:sz w:val="24"/>
          <w:szCs w:val="24"/>
        </w:rPr>
      </w:pPr>
      <w:r>
        <w:rPr>
          <w:rFonts w:ascii="宋体" w:hAnsi="宋体"/>
          <w:iCs/>
          <w:sz w:val="24"/>
          <w:szCs w:val="24"/>
        </w:rPr>
        <w:t>投标人应将所有投标文件密封在包装袋里，并在封口启封处加盖单位公章。</w:t>
      </w:r>
      <w:r>
        <w:rPr>
          <w:rFonts w:ascii="宋体" w:hAnsi="宋体"/>
          <w:sz w:val="24"/>
          <w:szCs w:val="24"/>
        </w:rPr>
        <w:t>正本与副本有差异者，以正本为准。</w:t>
      </w:r>
    </w:p>
    <w:p>
      <w:pPr>
        <w:adjustRightInd w:val="0"/>
        <w:snapToGrid w:val="0"/>
        <w:spacing w:line="360" w:lineRule="auto"/>
        <w:ind w:firstLine="482" w:firstLineChars="200"/>
        <w:rPr>
          <w:rFonts w:ascii="宋体" w:hAnsi="宋体"/>
          <w:b/>
          <w:sz w:val="24"/>
          <w:szCs w:val="24"/>
        </w:rPr>
      </w:pPr>
      <w:r>
        <w:rPr>
          <w:rFonts w:ascii="宋体" w:hAnsi="宋体"/>
          <w:b/>
          <w:sz w:val="24"/>
          <w:szCs w:val="24"/>
        </w:rPr>
        <w:t>2、投标文件的补充、修改和撤回</w:t>
      </w:r>
    </w:p>
    <w:p>
      <w:pPr>
        <w:adjustRightInd w:val="0"/>
        <w:snapToGrid w:val="0"/>
        <w:spacing w:line="360" w:lineRule="auto"/>
        <w:ind w:firstLine="480" w:firstLineChars="200"/>
        <w:rPr>
          <w:rFonts w:ascii="宋体" w:hAnsi="宋体"/>
          <w:sz w:val="24"/>
          <w:szCs w:val="24"/>
        </w:rPr>
      </w:pPr>
      <w:r>
        <w:rPr>
          <w:rFonts w:ascii="宋体" w:hAnsi="宋体"/>
          <w:sz w:val="24"/>
          <w:szCs w:val="24"/>
        </w:rPr>
        <w:t>2.1投标截止日期前，投标人可以书面形式向招标方对已递交的投标文件提出补充或修改，相应部分以最后的补充和修改为准。该书面材料应密封，由投标人代表签字并加盖公章。投标人所有的一切有效补充、修改文件，均被视为投标文件不可分割的一部分。</w:t>
      </w:r>
    </w:p>
    <w:p>
      <w:pPr>
        <w:adjustRightInd w:val="0"/>
        <w:snapToGrid w:val="0"/>
        <w:spacing w:line="360" w:lineRule="auto"/>
        <w:ind w:firstLine="480" w:firstLineChars="200"/>
        <w:rPr>
          <w:rFonts w:ascii="宋体" w:hAnsi="宋体"/>
          <w:sz w:val="24"/>
          <w:szCs w:val="24"/>
        </w:rPr>
      </w:pPr>
      <w:r>
        <w:rPr>
          <w:rFonts w:ascii="宋体" w:hAnsi="宋体"/>
          <w:sz w:val="24"/>
          <w:szCs w:val="24"/>
        </w:rPr>
        <w:t>2.2投标人不得在投标截止日期至投标有效期满前撤回投标文件。</w:t>
      </w:r>
    </w:p>
    <w:p>
      <w:pPr>
        <w:adjustRightInd w:val="0"/>
        <w:snapToGrid w:val="0"/>
        <w:spacing w:line="360" w:lineRule="auto"/>
        <w:ind w:firstLine="646"/>
        <w:outlineLvl w:val="1"/>
        <w:rPr>
          <w:rFonts w:ascii="宋体" w:hAnsi="宋体"/>
          <w:b/>
          <w:sz w:val="24"/>
          <w:szCs w:val="24"/>
        </w:rPr>
      </w:pPr>
      <w:r>
        <w:rPr>
          <w:rFonts w:ascii="宋体" w:hAnsi="宋体"/>
          <w:b/>
          <w:sz w:val="24"/>
          <w:szCs w:val="24"/>
        </w:rPr>
        <w:t>五、合格的投标人</w:t>
      </w:r>
    </w:p>
    <w:p>
      <w:pPr>
        <w:adjustRightInd w:val="0"/>
        <w:snapToGrid w:val="0"/>
        <w:spacing w:line="360" w:lineRule="auto"/>
        <w:ind w:firstLine="480" w:firstLineChars="200"/>
        <w:rPr>
          <w:rFonts w:ascii="宋体" w:hAnsi="宋体"/>
          <w:sz w:val="24"/>
          <w:szCs w:val="24"/>
        </w:rPr>
      </w:pPr>
      <w:r>
        <w:rPr>
          <w:rFonts w:ascii="宋体" w:hAnsi="宋体"/>
          <w:sz w:val="24"/>
          <w:szCs w:val="24"/>
        </w:rPr>
        <w:t>符合以下条件的投标人即为合格的投标人，合格的投标人将具有参与评审的资格：</w:t>
      </w:r>
    </w:p>
    <w:p>
      <w:pPr>
        <w:adjustRightInd w:val="0"/>
        <w:snapToGrid w:val="0"/>
        <w:spacing w:line="360" w:lineRule="auto"/>
        <w:ind w:firstLine="600" w:firstLineChars="250"/>
        <w:rPr>
          <w:rFonts w:ascii="宋体" w:hAnsi="宋体"/>
          <w:sz w:val="24"/>
          <w:szCs w:val="24"/>
        </w:rPr>
      </w:pPr>
      <w:r>
        <w:rPr>
          <w:rFonts w:ascii="宋体" w:hAnsi="宋体"/>
          <w:sz w:val="24"/>
          <w:szCs w:val="24"/>
        </w:rPr>
        <w:t>1、符合第一部分对投标人的资格要求；</w:t>
      </w:r>
    </w:p>
    <w:p>
      <w:pPr>
        <w:adjustRightInd w:val="0"/>
        <w:snapToGrid w:val="0"/>
        <w:spacing w:line="360" w:lineRule="auto"/>
        <w:ind w:firstLine="600" w:firstLineChars="250"/>
        <w:rPr>
          <w:rFonts w:ascii="宋体" w:hAnsi="宋体"/>
          <w:sz w:val="24"/>
          <w:szCs w:val="24"/>
        </w:rPr>
      </w:pPr>
      <w:r>
        <w:rPr>
          <w:rFonts w:ascii="宋体" w:hAnsi="宋体"/>
          <w:sz w:val="24"/>
          <w:szCs w:val="24"/>
        </w:rPr>
        <w:t>2、按本部分《二、投标文件的编制》的要求（密封、签署、盖章）提供投标文件；</w:t>
      </w:r>
    </w:p>
    <w:p>
      <w:pPr>
        <w:adjustRightInd w:val="0"/>
        <w:snapToGrid w:val="0"/>
        <w:spacing w:line="360" w:lineRule="auto"/>
        <w:ind w:firstLine="600" w:firstLineChars="250"/>
        <w:rPr>
          <w:rFonts w:ascii="宋体" w:hAnsi="宋体"/>
          <w:sz w:val="24"/>
          <w:szCs w:val="24"/>
        </w:rPr>
      </w:pPr>
      <w:r>
        <w:rPr>
          <w:rFonts w:ascii="宋体" w:hAnsi="宋体"/>
          <w:sz w:val="24"/>
          <w:szCs w:val="24"/>
        </w:rPr>
        <w:t>3、提供的资格、资质证明文件齐全并真实有效；</w:t>
      </w:r>
    </w:p>
    <w:p>
      <w:pPr>
        <w:adjustRightInd w:val="0"/>
        <w:snapToGrid w:val="0"/>
        <w:spacing w:line="360" w:lineRule="auto"/>
        <w:ind w:firstLine="600" w:firstLineChars="250"/>
        <w:rPr>
          <w:rFonts w:ascii="宋体" w:hAnsi="宋体"/>
          <w:sz w:val="24"/>
          <w:szCs w:val="24"/>
        </w:rPr>
      </w:pPr>
      <w:r>
        <w:rPr>
          <w:rFonts w:ascii="宋体" w:hAnsi="宋体"/>
          <w:sz w:val="24"/>
          <w:szCs w:val="24"/>
        </w:rPr>
        <w:t>4、对招标文件做出实质性响应。</w:t>
      </w:r>
    </w:p>
    <w:p>
      <w:pPr>
        <w:adjustRightInd w:val="0"/>
        <w:snapToGrid w:val="0"/>
        <w:spacing w:line="360" w:lineRule="auto"/>
        <w:ind w:firstLine="646"/>
        <w:outlineLvl w:val="1"/>
        <w:rPr>
          <w:rFonts w:ascii="宋体" w:hAnsi="宋体"/>
          <w:b/>
          <w:color w:val="FF0000"/>
          <w:sz w:val="24"/>
          <w:szCs w:val="24"/>
        </w:rPr>
      </w:pPr>
      <w:r>
        <w:rPr>
          <w:rFonts w:ascii="宋体" w:hAnsi="宋体"/>
          <w:b/>
          <w:sz w:val="24"/>
          <w:szCs w:val="24"/>
        </w:rPr>
        <w:t>六、投标文件有效期</w:t>
      </w:r>
    </w:p>
    <w:p>
      <w:pPr>
        <w:adjustRightInd w:val="0"/>
        <w:snapToGrid w:val="0"/>
        <w:spacing w:line="360" w:lineRule="auto"/>
        <w:ind w:firstLine="480" w:firstLineChars="200"/>
        <w:rPr>
          <w:rFonts w:ascii="宋体" w:hAnsi="宋体"/>
          <w:sz w:val="24"/>
          <w:szCs w:val="24"/>
        </w:rPr>
      </w:pPr>
      <w:r>
        <w:rPr>
          <w:rFonts w:ascii="宋体" w:hAnsi="宋体"/>
          <w:sz w:val="24"/>
          <w:szCs w:val="24"/>
        </w:rPr>
        <w:t>投标应从开标之日起，在开标后90天（以日历天计算）内有效。投标文件应在规定的开标日后投标有效期内保持有效。若遇到特殊情况，招标人可于投标有效期到期前要求投标人同意延长有效期，但延长一般不超过30天。投标人应以书面的形式答复表示同意，并相应延长投标保证金有效期，此时投标人不能对投标文件进行任何修改。投标人若不同意延长投标有效期，则应以书面的形式给予明确答复，此时投标人被视为自动退出投标。</w:t>
      </w:r>
    </w:p>
    <w:p>
      <w:pPr>
        <w:adjustRightInd w:val="0"/>
        <w:snapToGrid w:val="0"/>
        <w:spacing w:line="360" w:lineRule="auto"/>
        <w:ind w:firstLine="472" w:firstLineChars="196"/>
        <w:outlineLvl w:val="1"/>
        <w:rPr>
          <w:rFonts w:ascii="宋体" w:hAnsi="宋体"/>
          <w:b/>
          <w:sz w:val="24"/>
          <w:szCs w:val="24"/>
        </w:rPr>
      </w:pPr>
      <w:r>
        <w:rPr>
          <w:rFonts w:ascii="宋体" w:hAnsi="宋体"/>
          <w:b/>
          <w:sz w:val="24"/>
          <w:szCs w:val="24"/>
        </w:rPr>
        <w:t>七、投标报价</w:t>
      </w:r>
    </w:p>
    <w:p>
      <w:pPr>
        <w:adjustRightInd w:val="0"/>
        <w:snapToGrid w:val="0"/>
        <w:spacing w:line="360" w:lineRule="auto"/>
        <w:ind w:firstLine="482" w:firstLineChars="200"/>
        <w:rPr>
          <w:rFonts w:ascii="宋体" w:hAnsi="宋体"/>
          <w:b/>
          <w:sz w:val="24"/>
          <w:szCs w:val="24"/>
        </w:rPr>
      </w:pPr>
      <w:r>
        <w:rPr>
          <w:rFonts w:ascii="宋体" w:hAnsi="宋体"/>
          <w:b/>
          <w:sz w:val="24"/>
          <w:szCs w:val="24"/>
        </w:rPr>
        <w:t>1、报价内容及方式</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投标方</w:t>
      </w:r>
      <w:r>
        <w:rPr>
          <w:rFonts w:ascii="宋体" w:hAnsi="宋体"/>
          <w:sz w:val="24"/>
          <w:szCs w:val="24"/>
        </w:rPr>
        <w:t>结合本单位实际情况，充分考虑市场条件，</w:t>
      </w:r>
      <w:r>
        <w:rPr>
          <w:rFonts w:hint="eastAsia" w:ascii="宋体" w:hAnsi="宋体"/>
          <w:sz w:val="24"/>
          <w:szCs w:val="24"/>
        </w:rPr>
        <w:t>根据投标意向，做出最终报价。</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2、</w:t>
      </w:r>
      <w:r>
        <w:rPr>
          <w:rFonts w:ascii="宋体" w:hAnsi="宋体"/>
          <w:sz w:val="24"/>
          <w:szCs w:val="24"/>
        </w:rPr>
        <w:t>最终价格以双方签订的合同价格为准。</w:t>
      </w:r>
      <w:r>
        <w:rPr>
          <w:rFonts w:hint="eastAsia" w:ascii="宋体" w:hAnsi="宋体"/>
          <w:sz w:val="24"/>
          <w:szCs w:val="24"/>
        </w:rPr>
        <w:t>（见合同文本）</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3</w:t>
      </w:r>
      <w:r>
        <w:rPr>
          <w:rFonts w:ascii="宋体" w:hAnsi="宋体"/>
          <w:sz w:val="24"/>
          <w:szCs w:val="24"/>
        </w:rPr>
        <w:t>、投标人在投标截止时间前修改投标报价时，应附详细的修改办法。</w:t>
      </w:r>
    </w:p>
    <w:p>
      <w:pPr>
        <w:adjustRightInd w:val="0"/>
        <w:snapToGrid w:val="0"/>
        <w:spacing w:line="360" w:lineRule="auto"/>
        <w:ind w:firstLine="472" w:firstLineChars="196"/>
        <w:rPr>
          <w:rFonts w:ascii="宋体" w:hAnsi="宋体"/>
          <w:b/>
          <w:sz w:val="24"/>
          <w:szCs w:val="24"/>
        </w:rPr>
      </w:pPr>
      <w:r>
        <w:rPr>
          <w:rFonts w:ascii="宋体" w:hAnsi="宋体"/>
          <w:b/>
          <w:sz w:val="24"/>
          <w:szCs w:val="24"/>
        </w:rPr>
        <w:t>注：投标报价格式详见《开标一览表》</w:t>
      </w:r>
    </w:p>
    <w:p>
      <w:pPr>
        <w:spacing w:line="580" w:lineRule="exact"/>
        <w:ind w:firstLine="472" w:firstLineChars="196"/>
        <w:rPr>
          <w:rFonts w:ascii="宋体" w:hAnsi="宋体"/>
          <w:sz w:val="24"/>
        </w:rPr>
      </w:pPr>
      <w:r>
        <w:rPr>
          <w:rFonts w:hint="eastAsia" w:ascii="宋体" w:hAnsi="宋体"/>
          <w:b/>
          <w:sz w:val="24"/>
        </w:rPr>
        <w:t>八、费用承担</w:t>
      </w:r>
    </w:p>
    <w:p>
      <w:pPr>
        <w:spacing w:line="580" w:lineRule="exact"/>
        <w:ind w:firstLine="600" w:firstLineChars="250"/>
        <w:rPr>
          <w:rFonts w:ascii="宋体" w:hAnsi="宋体"/>
          <w:sz w:val="24"/>
        </w:rPr>
      </w:pPr>
      <w:r>
        <w:rPr>
          <w:rFonts w:hint="eastAsia" w:ascii="宋体" w:hAnsi="宋体"/>
          <w:sz w:val="24"/>
        </w:rPr>
        <w:t>投标人应承担其编制投标文件与递交投标文件所涉及的一切费用，投标人购买招标文件、制作投标文件，以及准备和参加投标活动发生的费用自理。投标人踏勘现场发生的费用自理。不管投标结果如何，招标人对上述费用不负任何责任，投标文件不退回。</w:t>
      </w:r>
    </w:p>
    <w:p>
      <w:pPr>
        <w:spacing w:line="360" w:lineRule="auto"/>
        <w:ind w:firstLine="590" w:firstLineChars="245"/>
        <w:rPr>
          <w:rFonts w:ascii="宋体" w:hAnsi="宋体"/>
          <w:b/>
          <w:sz w:val="24"/>
          <w:szCs w:val="24"/>
        </w:rPr>
      </w:pPr>
      <w:r>
        <w:rPr>
          <w:rFonts w:hint="eastAsia" w:ascii="宋体" w:hAnsi="宋体" w:cs="宋体"/>
          <w:b/>
          <w:sz w:val="24"/>
          <w:szCs w:val="24"/>
        </w:rPr>
        <w:t>九、</w:t>
      </w:r>
      <w:r>
        <w:rPr>
          <w:rFonts w:hint="eastAsia" w:ascii="宋体" w:hAnsi="宋体"/>
          <w:b/>
          <w:sz w:val="24"/>
          <w:szCs w:val="24"/>
        </w:rPr>
        <w:t>投标保证金：详见投标人须知前附表</w:t>
      </w:r>
    </w:p>
    <w:p>
      <w:pPr>
        <w:spacing w:line="360" w:lineRule="auto"/>
        <w:ind w:firstLine="590" w:firstLineChars="245"/>
        <w:rPr>
          <w:rFonts w:ascii="宋体" w:hAnsi="宋体"/>
          <w:b/>
          <w:sz w:val="24"/>
          <w:szCs w:val="24"/>
        </w:rPr>
      </w:pPr>
      <w:r>
        <w:rPr>
          <w:rFonts w:hint="eastAsia" w:ascii="宋体" w:hAnsi="宋体"/>
          <w:b/>
          <w:sz w:val="24"/>
          <w:szCs w:val="24"/>
        </w:rPr>
        <w:t>十、履约保证金：详见投标人须知前附表</w:t>
      </w:r>
    </w:p>
    <w:p>
      <w:pPr>
        <w:adjustRightInd w:val="0"/>
        <w:snapToGrid w:val="0"/>
        <w:spacing w:line="360" w:lineRule="auto"/>
        <w:ind w:firstLine="590" w:firstLineChars="245"/>
        <w:outlineLvl w:val="1"/>
        <w:rPr>
          <w:rFonts w:ascii="宋体" w:hAnsi="宋体"/>
          <w:b/>
          <w:sz w:val="24"/>
          <w:szCs w:val="24"/>
        </w:rPr>
      </w:pPr>
      <w:r>
        <w:rPr>
          <w:rFonts w:hint="eastAsia" w:ascii="宋体" w:hAnsi="宋体"/>
          <w:b/>
          <w:sz w:val="24"/>
          <w:szCs w:val="24"/>
        </w:rPr>
        <w:t>十一</w:t>
      </w:r>
      <w:r>
        <w:rPr>
          <w:rFonts w:ascii="宋体" w:hAnsi="宋体"/>
          <w:b/>
          <w:sz w:val="24"/>
          <w:szCs w:val="24"/>
        </w:rPr>
        <w:t>、无效投标</w:t>
      </w:r>
    </w:p>
    <w:p>
      <w:pPr>
        <w:adjustRightInd w:val="0"/>
        <w:snapToGrid w:val="0"/>
        <w:spacing w:line="360" w:lineRule="auto"/>
        <w:ind w:firstLine="480" w:firstLineChars="200"/>
        <w:rPr>
          <w:rFonts w:ascii="宋体" w:hAnsi="宋体"/>
          <w:sz w:val="24"/>
          <w:szCs w:val="24"/>
        </w:rPr>
      </w:pPr>
      <w:r>
        <w:rPr>
          <w:rFonts w:ascii="宋体" w:hAnsi="宋体"/>
          <w:sz w:val="24"/>
          <w:szCs w:val="24"/>
        </w:rPr>
        <w:t>发生下列情况之一者，评标委员会有权视为无效投标:</w:t>
      </w:r>
    </w:p>
    <w:p>
      <w:pPr>
        <w:adjustRightInd w:val="0"/>
        <w:snapToGrid w:val="0"/>
        <w:spacing w:line="360" w:lineRule="auto"/>
        <w:ind w:firstLine="480" w:firstLineChars="200"/>
        <w:rPr>
          <w:rFonts w:ascii="宋体" w:hAnsi="宋体"/>
          <w:sz w:val="24"/>
          <w:szCs w:val="24"/>
        </w:rPr>
      </w:pPr>
      <w:r>
        <w:rPr>
          <w:rFonts w:ascii="宋体" w:hAnsi="宋体"/>
          <w:sz w:val="24"/>
          <w:szCs w:val="24"/>
        </w:rPr>
        <w:t>1、投标文件未按本章《二、投标文件的编制》的规定密封或投标文件未按规定加盖公章和签字。</w:t>
      </w:r>
    </w:p>
    <w:p>
      <w:pPr>
        <w:adjustRightInd w:val="0"/>
        <w:snapToGrid w:val="0"/>
        <w:spacing w:line="360" w:lineRule="auto"/>
        <w:ind w:firstLine="480" w:firstLineChars="200"/>
        <w:rPr>
          <w:rFonts w:ascii="宋体" w:hAnsi="宋体"/>
          <w:sz w:val="24"/>
          <w:szCs w:val="24"/>
        </w:rPr>
      </w:pPr>
      <w:r>
        <w:rPr>
          <w:rFonts w:ascii="宋体" w:hAnsi="宋体"/>
          <w:sz w:val="24"/>
          <w:szCs w:val="24"/>
        </w:rPr>
        <w:t>2、未按要求提供有关资格资质证明文件或提供的有关资格、资质证明文件不真实，提供虚假报价材料的；</w:t>
      </w:r>
    </w:p>
    <w:p>
      <w:pPr>
        <w:pStyle w:val="10"/>
        <w:adjustRightInd w:val="0"/>
        <w:snapToGrid w:val="0"/>
        <w:spacing w:line="360" w:lineRule="auto"/>
        <w:ind w:firstLine="480" w:firstLineChars="200"/>
        <w:jc w:val="left"/>
        <w:rPr>
          <w:rFonts w:hAnsi="宋体"/>
          <w:sz w:val="24"/>
          <w:szCs w:val="24"/>
        </w:rPr>
      </w:pPr>
      <w:r>
        <w:rPr>
          <w:rFonts w:hAnsi="宋体"/>
          <w:bCs/>
          <w:iCs/>
          <w:snapToGrid w:val="0"/>
          <w:kern w:val="0"/>
          <w:sz w:val="24"/>
          <w:szCs w:val="24"/>
        </w:rPr>
        <w:t>3、没有按照招标文件要求提供投标保证金或者提供的投标保证金有瑕疵</w:t>
      </w:r>
      <w:r>
        <w:rPr>
          <w:rFonts w:hAnsi="宋体"/>
          <w:sz w:val="24"/>
          <w:szCs w:val="24"/>
        </w:rPr>
        <w:t>；</w:t>
      </w:r>
    </w:p>
    <w:p>
      <w:pPr>
        <w:pStyle w:val="10"/>
        <w:adjustRightInd w:val="0"/>
        <w:snapToGrid w:val="0"/>
        <w:spacing w:line="360" w:lineRule="auto"/>
        <w:ind w:firstLine="480" w:firstLineChars="200"/>
        <w:jc w:val="left"/>
        <w:rPr>
          <w:rFonts w:hAnsi="宋体"/>
          <w:sz w:val="24"/>
          <w:szCs w:val="24"/>
        </w:rPr>
      </w:pPr>
      <w:r>
        <w:rPr>
          <w:rFonts w:hAnsi="宋体"/>
          <w:sz w:val="24"/>
          <w:szCs w:val="24"/>
        </w:rPr>
        <w:t>4、开标后，投标人退出招标活动的；</w:t>
      </w:r>
    </w:p>
    <w:p>
      <w:pPr>
        <w:pStyle w:val="10"/>
        <w:adjustRightInd w:val="0"/>
        <w:snapToGrid w:val="0"/>
        <w:spacing w:line="360" w:lineRule="auto"/>
        <w:ind w:firstLine="480" w:firstLineChars="200"/>
        <w:jc w:val="left"/>
        <w:rPr>
          <w:rFonts w:hAnsi="宋体"/>
          <w:sz w:val="24"/>
          <w:szCs w:val="24"/>
        </w:rPr>
      </w:pPr>
      <w:r>
        <w:rPr>
          <w:rFonts w:hAnsi="宋体"/>
          <w:sz w:val="24"/>
          <w:szCs w:val="24"/>
        </w:rPr>
        <w:t>5、</w:t>
      </w:r>
      <w:r>
        <w:rPr>
          <w:rFonts w:hint="eastAsia" w:hAnsi="宋体"/>
          <w:sz w:val="24"/>
          <w:szCs w:val="24"/>
        </w:rPr>
        <w:t>委托代理人</w:t>
      </w:r>
      <w:r>
        <w:rPr>
          <w:rFonts w:hAnsi="宋体"/>
          <w:sz w:val="24"/>
          <w:szCs w:val="24"/>
        </w:rPr>
        <w:t>未到开标现场或其法人代表也未到开标现场的；</w:t>
      </w:r>
    </w:p>
    <w:p>
      <w:pPr>
        <w:pStyle w:val="10"/>
        <w:adjustRightInd w:val="0"/>
        <w:snapToGrid w:val="0"/>
        <w:spacing w:line="360" w:lineRule="auto"/>
        <w:ind w:firstLine="480" w:firstLineChars="200"/>
        <w:jc w:val="left"/>
        <w:rPr>
          <w:rFonts w:hAnsi="宋体"/>
          <w:sz w:val="24"/>
          <w:szCs w:val="24"/>
        </w:rPr>
      </w:pPr>
      <w:r>
        <w:rPr>
          <w:rFonts w:hAnsi="宋体"/>
          <w:sz w:val="24"/>
          <w:szCs w:val="24"/>
        </w:rPr>
        <w:t>6、在投标文件中有两个以上的报价，且未明确哪个报价有效；</w:t>
      </w:r>
    </w:p>
    <w:p>
      <w:pPr>
        <w:pStyle w:val="10"/>
        <w:adjustRightInd w:val="0"/>
        <w:snapToGrid w:val="0"/>
        <w:spacing w:line="360" w:lineRule="auto"/>
        <w:ind w:firstLine="480" w:firstLineChars="200"/>
        <w:jc w:val="left"/>
        <w:rPr>
          <w:rFonts w:hAnsi="宋体"/>
          <w:sz w:val="24"/>
          <w:szCs w:val="24"/>
        </w:rPr>
      </w:pPr>
      <w:r>
        <w:rPr>
          <w:rFonts w:hAnsi="宋体"/>
          <w:sz w:val="24"/>
          <w:szCs w:val="24"/>
        </w:rPr>
        <w:t>7、投标文件载明的招标项目完成期限不能满足招标文件规定的期限；</w:t>
      </w:r>
    </w:p>
    <w:p>
      <w:pPr>
        <w:pStyle w:val="10"/>
        <w:adjustRightInd w:val="0"/>
        <w:snapToGrid w:val="0"/>
        <w:spacing w:line="360" w:lineRule="auto"/>
        <w:ind w:firstLine="480" w:firstLineChars="200"/>
        <w:jc w:val="left"/>
        <w:rPr>
          <w:rFonts w:hAnsi="宋体"/>
          <w:bCs/>
          <w:sz w:val="24"/>
          <w:szCs w:val="24"/>
        </w:rPr>
      </w:pPr>
      <w:r>
        <w:rPr>
          <w:rFonts w:hAnsi="宋体"/>
          <w:sz w:val="24"/>
          <w:szCs w:val="24"/>
        </w:rPr>
        <w:t>8、</w:t>
      </w:r>
      <w:r>
        <w:rPr>
          <w:rFonts w:hAnsi="宋体"/>
          <w:bCs/>
          <w:sz w:val="24"/>
          <w:szCs w:val="24"/>
        </w:rPr>
        <w:t>投标文件附有招标人不能接受的附加条件；</w:t>
      </w:r>
    </w:p>
    <w:p>
      <w:pPr>
        <w:pStyle w:val="10"/>
        <w:adjustRightInd w:val="0"/>
        <w:snapToGrid w:val="0"/>
        <w:spacing w:line="360" w:lineRule="auto"/>
        <w:ind w:firstLine="480" w:firstLineChars="200"/>
        <w:jc w:val="left"/>
        <w:rPr>
          <w:rFonts w:hAnsi="宋体"/>
          <w:sz w:val="24"/>
          <w:szCs w:val="24"/>
        </w:rPr>
      </w:pPr>
      <w:r>
        <w:rPr>
          <w:rFonts w:hAnsi="宋体"/>
          <w:bCs/>
          <w:sz w:val="24"/>
          <w:szCs w:val="24"/>
        </w:rPr>
        <w:t>9、</w:t>
      </w:r>
      <w:r>
        <w:rPr>
          <w:rFonts w:hAnsi="宋体"/>
          <w:sz w:val="24"/>
          <w:szCs w:val="24"/>
        </w:rPr>
        <w:t>妨碍其他投标人的公平竞争的；</w:t>
      </w:r>
    </w:p>
    <w:p>
      <w:pPr>
        <w:pStyle w:val="10"/>
        <w:adjustRightInd w:val="0"/>
        <w:snapToGrid w:val="0"/>
        <w:spacing w:line="360" w:lineRule="auto"/>
        <w:ind w:firstLine="480" w:firstLineChars="200"/>
        <w:jc w:val="left"/>
        <w:rPr>
          <w:rFonts w:hAnsi="宋体"/>
          <w:sz w:val="24"/>
          <w:szCs w:val="24"/>
        </w:rPr>
      </w:pPr>
      <w:r>
        <w:rPr>
          <w:rFonts w:hAnsi="宋体"/>
          <w:sz w:val="24"/>
          <w:szCs w:val="24"/>
        </w:rPr>
        <w:t>10、中标人不按规定的要求签订服务合同的；</w:t>
      </w:r>
    </w:p>
    <w:p>
      <w:pPr>
        <w:pStyle w:val="10"/>
        <w:adjustRightInd w:val="0"/>
        <w:snapToGrid w:val="0"/>
        <w:spacing w:line="360" w:lineRule="auto"/>
        <w:ind w:firstLine="480" w:firstLineChars="200"/>
        <w:jc w:val="left"/>
        <w:rPr>
          <w:rFonts w:hAnsi="宋体"/>
          <w:sz w:val="24"/>
          <w:szCs w:val="24"/>
        </w:rPr>
      </w:pPr>
      <w:r>
        <w:rPr>
          <w:rFonts w:hAnsi="宋体"/>
          <w:sz w:val="24"/>
          <w:szCs w:val="24"/>
        </w:rPr>
        <w:t>11、其他不符合招标文件要求的投标。</w:t>
      </w:r>
    </w:p>
    <w:p>
      <w:pPr>
        <w:pStyle w:val="17"/>
        <w:adjustRightInd w:val="0"/>
        <w:snapToGrid w:val="0"/>
        <w:spacing w:after="0" w:line="360" w:lineRule="auto"/>
        <w:ind w:firstLine="236" w:firstLineChars="98"/>
        <w:rPr>
          <w:rFonts w:ascii="宋体" w:hAnsi="宋体"/>
          <w:b/>
          <w:sz w:val="24"/>
          <w:szCs w:val="24"/>
        </w:rPr>
      </w:pPr>
      <w:r>
        <w:rPr>
          <w:rFonts w:ascii="宋体" w:hAnsi="宋体"/>
          <w:b/>
          <w:sz w:val="24"/>
          <w:szCs w:val="24"/>
        </w:rPr>
        <w:t>十</w:t>
      </w:r>
      <w:r>
        <w:rPr>
          <w:rFonts w:hint="eastAsia" w:ascii="宋体" w:hAnsi="宋体"/>
          <w:b/>
          <w:sz w:val="24"/>
          <w:szCs w:val="24"/>
        </w:rPr>
        <w:t>二</w:t>
      </w:r>
      <w:r>
        <w:rPr>
          <w:rFonts w:ascii="宋体" w:hAnsi="宋体"/>
          <w:b/>
          <w:sz w:val="24"/>
          <w:szCs w:val="24"/>
        </w:rPr>
        <w:t>、废标</w:t>
      </w:r>
    </w:p>
    <w:p>
      <w:pPr>
        <w:pStyle w:val="10"/>
        <w:adjustRightInd w:val="0"/>
        <w:snapToGrid w:val="0"/>
        <w:spacing w:line="360" w:lineRule="auto"/>
        <w:ind w:firstLine="480" w:firstLineChars="200"/>
        <w:jc w:val="left"/>
        <w:rPr>
          <w:rFonts w:hAnsi="宋体"/>
          <w:sz w:val="24"/>
          <w:szCs w:val="24"/>
        </w:rPr>
      </w:pPr>
      <w:r>
        <w:rPr>
          <w:rFonts w:hAnsi="宋体"/>
          <w:sz w:val="24"/>
          <w:szCs w:val="24"/>
        </w:rPr>
        <w:t>在招标过程中，出现下列情形之一的，招标单位有权予以废标。</w:t>
      </w:r>
    </w:p>
    <w:p>
      <w:pPr>
        <w:pStyle w:val="10"/>
        <w:adjustRightInd w:val="0"/>
        <w:snapToGrid w:val="0"/>
        <w:spacing w:line="360" w:lineRule="auto"/>
        <w:ind w:firstLine="480" w:firstLineChars="200"/>
        <w:jc w:val="left"/>
        <w:rPr>
          <w:rFonts w:hAnsi="宋体"/>
          <w:sz w:val="24"/>
          <w:szCs w:val="24"/>
        </w:rPr>
      </w:pPr>
      <w:r>
        <w:rPr>
          <w:rFonts w:hAnsi="宋体"/>
          <w:sz w:val="24"/>
          <w:szCs w:val="24"/>
        </w:rPr>
        <w:t>1、出现影响招标公正的违法、违规行为的。</w:t>
      </w:r>
    </w:p>
    <w:p>
      <w:pPr>
        <w:pStyle w:val="10"/>
        <w:adjustRightInd w:val="0"/>
        <w:snapToGrid w:val="0"/>
        <w:spacing w:line="360" w:lineRule="auto"/>
        <w:ind w:firstLine="480" w:firstLineChars="200"/>
        <w:jc w:val="left"/>
        <w:rPr>
          <w:rFonts w:hAnsi="宋体"/>
          <w:sz w:val="24"/>
          <w:szCs w:val="24"/>
        </w:rPr>
      </w:pPr>
      <w:r>
        <w:rPr>
          <w:rFonts w:hAnsi="宋体"/>
          <w:sz w:val="24"/>
          <w:szCs w:val="24"/>
        </w:rPr>
        <w:t>2、未达成招标方的</w:t>
      </w:r>
      <w:r>
        <w:rPr>
          <w:rFonts w:hint="eastAsia" w:hAnsi="宋体"/>
          <w:sz w:val="24"/>
          <w:szCs w:val="24"/>
        </w:rPr>
        <w:t>预算</w:t>
      </w:r>
      <w:r>
        <w:rPr>
          <w:rFonts w:hAnsi="宋体"/>
          <w:sz w:val="24"/>
          <w:szCs w:val="24"/>
        </w:rPr>
        <w:t>目标，或因其他重大变故，招标任务取消的。</w:t>
      </w:r>
    </w:p>
    <w:p>
      <w:pPr>
        <w:pStyle w:val="10"/>
        <w:adjustRightInd w:val="0"/>
        <w:snapToGrid w:val="0"/>
        <w:spacing w:line="360" w:lineRule="auto"/>
        <w:ind w:firstLine="480" w:firstLineChars="200"/>
        <w:jc w:val="left"/>
        <w:rPr>
          <w:rFonts w:hAnsi="宋体"/>
          <w:sz w:val="24"/>
          <w:szCs w:val="24"/>
        </w:rPr>
      </w:pPr>
      <w:r>
        <w:rPr>
          <w:rFonts w:hAnsi="宋体"/>
          <w:sz w:val="24"/>
          <w:szCs w:val="24"/>
        </w:rPr>
        <w:t>3、</w:t>
      </w:r>
      <w:r>
        <w:rPr>
          <w:rFonts w:hint="eastAsia" w:hAnsi="宋体"/>
          <w:sz w:val="24"/>
          <w:szCs w:val="24"/>
        </w:rPr>
        <w:t>法律法规或本招标文件规定的其他情形。</w:t>
      </w:r>
    </w:p>
    <w:p>
      <w:pPr>
        <w:pStyle w:val="10"/>
        <w:adjustRightInd w:val="0"/>
        <w:snapToGrid w:val="0"/>
        <w:spacing w:line="360" w:lineRule="auto"/>
        <w:ind w:firstLine="480" w:firstLineChars="200"/>
        <w:jc w:val="left"/>
        <w:rPr>
          <w:rFonts w:hAnsi="宋体"/>
          <w:sz w:val="24"/>
          <w:szCs w:val="24"/>
        </w:rPr>
      </w:pPr>
      <w:r>
        <w:rPr>
          <w:rFonts w:hint="eastAsia" w:hAnsi="宋体"/>
          <w:sz w:val="24"/>
          <w:szCs w:val="24"/>
        </w:rPr>
        <w:t>4</w:t>
      </w:r>
      <w:r>
        <w:rPr>
          <w:rFonts w:hAnsi="宋体"/>
          <w:sz w:val="24"/>
          <w:szCs w:val="24"/>
        </w:rPr>
        <w:t>、废标后，招标方应当将废标理由通知所有投标人。</w:t>
      </w:r>
    </w:p>
    <w:p>
      <w:pPr>
        <w:adjustRightInd w:val="0"/>
        <w:snapToGrid w:val="0"/>
        <w:spacing w:line="360" w:lineRule="auto"/>
        <w:outlineLvl w:val="0"/>
        <w:rPr>
          <w:rFonts w:ascii="宋体" w:hAnsi="宋体"/>
          <w:b/>
          <w:sz w:val="36"/>
          <w:szCs w:val="36"/>
        </w:rPr>
      </w:pPr>
      <w:r>
        <w:rPr>
          <w:rFonts w:hint="eastAsia" w:ascii="宋体" w:hAnsi="宋体"/>
          <w:b/>
          <w:sz w:val="36"/>
          <w:szCs w:val="36"/>
        </w:rPr>
        <w:t xml:space="preserve">         </w:t>
      </w:r>
    </w:p>
    <w:p>
      <w:pPr>
        <w:adjustRightInd w:val="0"/>
        <w:snapToGrid w:val="0"/>
        <w:spacing w:line="360" w:lineRule="auto"/>
        <w:outlineLvl w:val="0"/>
        <w:rPr>
          <w:rFonts w:ascii="宋体" w:hAnsi="宋体"/>
          <w:b/>
          <w:sz w:val="36"/>
          <w:szCs w:val="36"/>
        </w:rPr>
      </w:pPr>
      <w:r>
        <w:rPr>
          <w:rFonts w:hint="eastAsia" w:ascii="宋体" w:hAnsi="宋体"/>
          <w:b/>
          <w:sz w:val="36"/>
          <w:szCs w:val="36"/>
        </w:rPr>
        <w:t xml:space="preserve">           </w:t>
      </w:r>
    </w:p>
    <w:p>
      <w:pPr>
        <w:numPr>
          <w:numId w:val="0"/>
        </w:numPr>
        <w:adjustRightInd w:val="0"/>
        <w:snapToGrid w:val="0"/>
        <w:spacing w:line="360" w:lineRule="auto"/>
        <w:outlineLvl w:val="0"/>
        <w:rPr>
          <w:rFonts w:ascii="宋体" w:hAnsi="宋体"/>
          <w:b/>
          <w:sz w:val="36"/>
          <w:szCs w:val="36"/>
        </w:rPr>
      </w:pPr>
    </w:p>
    <w:p>
      <w:pPr>
        <w:numPr>
          <w:numId w:val="0"/>
        </w:numPr>
        <w:adjustRightInd w:val="0"/>
        <w:snapToGrid w:val="0"/>
        <w:spacing w:line="360" w:lineRule="auto"/>
        <w:outlineLvl w:val="0"/>
        <w:rPr>
          <w:rFonts w:ascii="宋体" w:hAnsi="宋体"/>
          <w:b/>
          <w:sz w:val="36"/>
          <w:szCs w:val="36"/>
        </w:rPr>
      </w:pPr>
    </w:p>
    <w:p>
      <w:pPr>
        <w:adjustRightInd w:val="0"/>
        <w:snapToGrid w:val="0"/>
        <w:spacing w:line="360" w:lineRule="auto"/>
        <w:jc w:val="center"/>
        <w:outlineLvl w:val="0"/>
        <w:rPr>
          <w:rFonts w:ascii="宋体" w:hAnsi="宋体"/>
          <w:b/>
          <w:sz w:val="36"/>
          <w:szCs w:val="36"/>
        </w:rPr>
      </w:pPr>
    </w:p>
    <w:p>
      <w:pPr>
        <w:adjustRightInd w:val="0"/>
        <w:snapToGrid w:val="0"/>
        <w:spacing w:line="360" w:lineRule="auto"/>
        <w:jc w:val="center"/>
        <w:outlineLvl w:val="0"/>
        <w:rPr>
          <w:rFonts w:ascii="宋体" w:hAnsi="宋体"/>
          <w:b/>
          <w:sz w:val="36"/>
          <w:szCs w:val="36"/>
        </w:rPr>
      </w:pPr>
    </w:p>
    <w:p>
      <w:pPr>
        <w:adjustRightInd w:val="0"/>
        <w:snapToGrid w:val="0"/>
        <w:spacing w:line="360" w:lineRule="auto"/>
        <w:jc w:val="center"/>
        <w:outlineLvl w:val="0"/>
        <w:rPr>
          <w:rFonts w:ascii="宋体" w:hAnsi="宋体"/>
          <w:sz w:val="36"/>
          <w:szCs w:val="36"/>
        </w:rPr>
      </w:pPr>
      <w:r>
        <w:rPr>
          <w:rFonts w:ascii="宋体" w:hAnsi="宋体"/>
          <w:b/>
          <w:sz w:val="36"/>
          <w:szCs w:val="36"/>
        </w:rPr>
        <w:t>第</w:t>
      </w:r>
      <w:r>
        <w:rPr>
          <w:rFonts w:hint="eastAsia" w:ascii="宋体" w:hAnsi="宋体"/>
          <w:b/>
          <w:sz w:val="36"/>
          <w:szCs w:val="36"/>
        </w:rPr>
        <w:t>三章</w:t>
      </w:r>
      <w:r>
        <w:rPr>
          <w:rFonts w:ascii="宋体" w:hAnsi="宋体"/>
          <w:b/>
          <w:sz w:val="36"/>
          <w:szCs w:val="36"/>
        </w:rPr>
        <w:t xml:space="preserve"> 招标项目服务内容及要求</w:t>
      </w:r>
    </w:p>
    <w:p>
      <w:pPr>
        <w:spacing w:line="360" w:lineRule="auto"/>
        <w:ind w:firstLine="472" w:firstLineChars="196"/>
        <w:rPr>
          <w:rFonts w:ascii="宋体" w:hAnsi="宋体" w:cs="宋体"/>
          <w:b/>
          <w:sz w:val="28"/>
          <w:szCs w:val="28"/>
        </w:rPr>
      </w:pPr>
      <w:bookmarkStart w:id="7" w:name="_Toc325046367"/>
      <w:r>
        <w:rPr>
          <w:rFonts w:ascii="宋体" w:hAnsi="宋体"/>
          <w:b/>
          <w:sz w:val="24"/>
          <w:szCs w:val="24"/>
        </w:rPr>
        <w:t>一、</w:t>
      </w:r>
      <w:r>
        <w:rPr>
          <w:rFonts w:hint="eastAsia" w:ascii="宋体" w:hAnsi="宋体" w:cs="宋体"/>
          <w:b/>
          <w:sz w:val="28"/>
          <w:szCs w:val="28"/>
        </w:rPr>
        <w:t xml:space="preserve"> 工程概述</w:t>
      </w:r>
    </w:p>
    <w:p>
      <w:pPr>
        <w:spacing w:line="500" w:lineRule="exact"/>
        <w:rPr>
          <w:rFonts w:ascii="宋体" w:hAnsi="宋体"/>
          <w:bCs/>
          <w:sz w:val="24"/>
          <w:szCs w:val="24"/>
        </w:rPr>
      </w:pPr>
      <w:r>
        <w:rPr>
          <w:rFonts w:hint="eastAsia" w:ascii="宋体" w:hAnsi="宋体" w:cs="宋体"/>
          <w:sz w:val="28"/>
          <w:szCs w:val="28"/>
        </w:rPr>
        <w:t xml:space="preserve">    </w:t>
      </w:r>
      <w:r>
        <w:rPr>
          <w:rFonts w:hint="eastAsia" w:ascii="宋体" w:hAnsi="宋体"/>
          <w:bCs/>
          <w:sz w:val="24"/>
          <w:szCs w:val="24"/>
        </w:rPr>
        <w:t>青岛钢铁有限公司城市钢厂环保搬迁工程4#高线搬迁工程是将于2011年在青钢老区建设的一条年产55.8万吨的优特钢高速线材生产线，异地搬迁到青岛胶南新区，建设原则是尽量考虑原拆原建。中冶华天工程技术有限公司承揽了4#高线搬迁工程红线范围内的所有设备及设施等的EPC工作。</w:t>
      </w:r>
    </w:p>
    <w:p>
      <w:pPr>
        <w:adjustRightInd w:val="0"/>
        <w:snapToGrid w:val="0"/>
        <w:spacing w:line="360" w:lineRule="auto"/>
        <w:ind w:firstLine="646"/>
        <w:outlineLvl w:val="1"/>
        <w:rPr>
          <w:rFonts w:ascii="宋体" w:hAnsi="宋体"/>
          <w:b/>
          <w:sz w:val="24"/>
          <w:szCs w:val="24"/>
        </w:rPr>
      </w:pPr>
      <w:r>
        <w:rPr>
          <w:rFonts w:hint="eastAsia" w:ascii="宋体" w:hAnsi="宋体"/>
          <w:b/>
          <w:sz w:val="24"/>
          <w:szCs w:val="24"/>
        </w:rPr>
        <w:t>二、项目说明</w:t>
      </w:r>
    </w:p>
    <w:p>
      <w:pPr>
        <w:spacing w:line="500" w:lineRule="exact"/>
        <w:rPr>
          <w:rFonts w:ascii="宋体" w:hAnsi="宋体"/>
          <w:bCs/>
          <w:sz w:val="24"/>
          <w:szCs w:val="24"/>
        </w:rPr>
      </w:pPr>
      <w:r>
        <w:rPr>
          <w:rFonts w:hint="eastAsia" w:ascii="宋体" w:hAnsi="宋体"/>
          <w:bCs/>
          <w:sz w:val="24"/>
          <w:szCs w:val="24"/>
        </w:rPr>
        <w:t xml:space="preserve">    1、 投标人必须仔细阅读本招标文件的全部条文。对于招标文件中存在的任何含糊、遗漏、相互矛盾之处，或是对于招标范围的界定和招标内容的要求不清楚，认为存在歧视、限制的情况，投标人应按照投标人须知的规定向招标人寻求书面澄清。</w:t>
      </w:r>
    </w:p>
    <w:p>
      <w:pPr>
        <w:spacing w:line="500" w:lineRule="exact"/>
        <w:rPr>
          <w:rFonts w:ascii="宋体" w:hAnsi="宋体"/>
          <w:bCs/>
          <w:sz w:val="24"/>
          <w:szCs w:val="24"/>
        </w:rPr>
      </w:pPr>
      <w:r>
        <w:rPr>
          <w:rFonts w:hint="eastAsia" w:ascii="宋体" w:hAnsi="宋体"/>
          <w:bCs/>
          <w:sz w:val="24"/>
          <w:szCs w:val="24"/>
        </w:rPr>
        <w:t xml:space="preserve">    2、投标人必须对招标文件要求的所有内容全部报价；投标人应根据招标文件、投标人各自情况等进行报价的编制，所报价格应为含税全包价（落地价），包括设计费、人工费、差率费、售后服务及技术支持等相关服务的所有费用，且包含验收费用。投标人应充分考虑本项目合同实施期间可能发生的一切费用，并承担由此而带来的风险。凡投标人在报价中未列的项目或遗漏项目，招标人将一律视为已包括在其报价中，在合同执行中将不予考虑。</w:t>
      </w:r>
    </w:p>
    <w:p>
      <w:pPr>
        <w:spacing w:line="500" w:lineRule="exact"/>
        <w:rPr>
          <w:rFonts w:ascii="宋体" w:hAnsi="宋体"/>
          <w:bCs/>
          <w:sz w:val="24"/>
          <w:szCs w:val="24"/>
        </w:rPr>
      </w:pPr>
      <w:r>
        <w:rPr>
          <w:rFonts w:hint="eastAsia" w:ascii="宋体" w:hAnsi="宋体"/>
          <w:bCs/>
          <w:sz w:val="24"/>
          <w:szCs w:val="24"/>
        </w:rPr>
        <w:t xml:space="preserve">    3、投标人应详细阅读招标文件，并进行现场踏勘，充分了解服务期间存在或隐含的问题，综合考虑各项风险和不可预见的情况，根据实际情况作出报价，合同执行中招标人不承担超出投标报价外的任何费用。</w:t>
      </w:r>
    </w:p>
    <w:p>
      <w:pPr>
        <w:spacing w:line="500" w:lineRule="exact"/>
        <w:rPr>
          <w:rFonts w:ascii="宋体" w:hAnsi="宋体"/>
          <w:b/>
          <w:sz w:val="24"/>
          <w:szCs w:val="24"/>
        </w:rPr>
      </w:pPr>
      <w:r>
        <w:rPr>
          <w:rFonts w:hint="eastAsia" w:ascii="宋体" w:hAnsi="宋体"/>
          <w:bCs/>
          <w:sz w:val="24"/>
          <w:szCs w:val="24"/>
        </w:rPr>
        <w:t xml:space="preserve">   </w:t>
      </w:r>
      <w:r>
        <w:rPr>
          <w:rFonts w:hint="eastAsia" w:ascii="宋体" w:hAnsi="宋体"/>
          <w:b/>
          <w:sz w:val="24"/>
          <w:szCs w:val="24"/>
        </w:rPr>
        <w:t>三、招标</w:t>
      </w:r>
      <w:r>
        <w:rPr>
          <w:rFonts w:ascii="宋体" w:hAnsi="宋体"/>
          <w:b/>
          <w:sz w:val="24"/>
          <w:szCs w:val="24"/>
        </w:rPr>
        <w:t>内容</w:t>
      </w:r>
      <w:bookmarkEnd w:id="7"/>
    </w:p>
    <w:p>
      <w:pPr>
        <w:spacing w:line="500" w:lineRule="exact"/>
        <w:ind w:firstLine="354" w:firstLineChars="147"/>
        <w:rPr>
          <w:rFonts w:ascii="宋体" w:hAnsi="宋体"/>
          <w:b/>
          <w:sz w:val="24"/>
          <w:szCs w:val="24"/>
        </w:rPr>
      </w:pPr>
      <w:r>
        <w:rPr>
          <w:rFonts w:hint="eastAsia" w:ascii="宋体" w:hAnsi="宋体"/>
          <w:b/>
          <w:sz w:val="24"/>
          <w:szCs w:val="24"/>
        </w:rPr>
        <w:t>（一）、工作内容：</w:t>
      </w:r>
    </w:p>
    <w:p>
      <w:pPr>
        <w:spacing w:line="500" w:lineRule="exact"/>
        <w:ind w:firstLine="470" w:firstLineChars="196"/>
        <w:rPr>
          <w:rFonts w:ascii="宋体" w:hAnsi="宋体"/>
          <w:sz w:val="24"/>
          <w:szCs w:val="24"/>
        </w:rPr>
      </w:pPr>
      <w:r>
        <w:rPr>
          <w:rFonts w:hint="eastAsia" w:ascii="宋体" w:hAnsi="宋体"/>
          <w:sz w:val="24"/>
          <w:szCs w:val="24"/>
        </w:rPr>
        <w:t>四高线搬迁工程立式卷芯棒系统（原瑞典森德斯公司设计，国内生产）设备由于搬迁在工艺设计上，卷心棒布置由原来的L型改为矩形，此项改动要求中标方对搬迁工程的立式卷芯棒原有图纸和程序做出符合搬迁现场设备的改动，在安装调试前给出搬迁现场设备改动的最新图纸资料。同时此次招标服务还包含和电气</w:t>
      </w:r>
      <w:r>
        <w:rPr>
          <w:rFonts w:hint="eastAsia" w:ascii="宋体" w:hAnsi="宋体"/>
          <w:bCs/>
          <w:sz w:val="24"/>
          <w:szCs w:val="24"/>
        </w:rPr>
        <w:t>（包括集卷、末节辊道等）</w:t>
      </w:r>
      <w:r>
        <w:rPr>
          <w:rFonts w:hint="eastAsia" w:ascii="宋体" w:hAnsi="宋体"/>
          <w:sz w:val="24"/>
          <w:szCs w:val="24"/>
        </w:rPr>
        <w:t>的安装指导、调试、性能考核的技术指导服务。</w:t>
      </w:r>
      <w:r>
        <w:rPr>
          <w:rFonts w:hint="eastAsia" w:ascii="宋体" w:hAnsi="宋体"/>
          <w:bCs/>
          <w:sz w:val="24"/>
          <w:szCs w:val="24"/>
        </w:rPr>
        <w:t xml:space="preserve">  </w:t>
      </w:r>
    </w:p>
    <w:p>
      <w:pPr>
        <w:adjustRightInd w:val="0"/>
        <w:snapToGrid w:val="0"/>
        <w:spacing w:line="500" w:lineRule="exact"/>
        <w:ind w:firstLine="118" w:firstLineChars="49"/>
        <w:outlineLvl w:val="1"/>
        <w:rPr>
          <w:rFonts w:ascii="宋体" w:hAnsi="宋体"/>
          <w:b/>
          <w:sz w:val="24"/>
          <w:szCs w:val="24"/>
        </w:rPr>
      </w:pPr>
      <w:r>
        <w:rPr>
          <w:rFonts w:hint="eastAsia" w:ascii="宋体" w:hAnsi="宋体"/>
          <w:b/>
          <w:sz w:val="24"/>
          <w:szCs w:val="24"/>
        </w:rPr>
        <w:t xml:space="preserve">  （二）、  技术要求：</w:t>
      </w:r>
    </w:p>
    <w:p>
      <w:pPr>
        <w:adjustRightInd w:val="0"/>
        <w:snapToGrid w:val="0"/>
        <w:spacing w:line="500" w:lineRule="exact"/>
        <w:outlineLvl w:val="1"/>
        <w:rPr>
          <w:rFonts w:ascii="宋体" w:hAnsi="宋体"/>
          <w:bCs/>
          <w:sz w:val="24"/>
          <w:szCs w:val="24"/>
        </w:rPr>
      </w:pPr>
      <w:r>
        <w:rPr>
          <w:rFonts w:hint="eastAsia" w:ascii="宋体" w:hAnsi="宋体"/>
          <w:b/>
          <w:sz w:val="24"/>
          <w:szCs w:val="24"/>
        </w:rPr>
        <w:t xml:space="preserve">    </w:t>
      </w:r>
      <w:r>
        <w:rPr>
          <w:rFonts w:hint="eastAsia" w:ascii="宋体" w:hAnsi="宋体"/>
          <w:bCs/>
          <w:sz w:val="24"/>
          <w:szCs w:val="24"/>
        </w:rPr>
        <w:t>1、设备安装的技术服务：</w:t>
      </w:r>
    </w:p>
    <w:p>
      <w:pPr>
        <w:spacing w:line="360" w:lineRule="auto"/>
        <w:rPr>
          <w:rFonts w:ascii="宋体" w:hAnsi="宋体"/>
          <w:bCs/>
          <w:sz w:val="24"/>
          <w:szCs w:val="24"/>
        </w:rPr>
      </w:pPr>
      <w:r>
        <w:rPr>
          <w:rFonts w:hint="eastAsia" w:ascii="宋体" w:hAnsi="宋体"/>
          <w:bCs/>
          <w:sz w:val="24"/>
          <w:szCs w:val="24"/>
        </w:rPr>
        <w:t xml:space="preserve">      （1）根据森德斯公司的设备安装规范和技术标准，在施工单位安装森德斯设备时，给出安装标准和技术要求。</w:t>
      </w:r>
    </w:p>
    <w:p>
      <w:pPr>
        <w:spacing w:line="360" w:lineRule="auto"/>
        <w:ind w:firstLine="480" w:firstLineChars="200"/>
        <w:rPr>
          <w:rFonts w:ascii="宋体" w:hAnsi="宋体"/>
          <w:bCs/>
          <w:sz w:val="24"/>
          <w:szCs w:val="24"/>
        </w:rPr>
      </w:pPr>
      <w:r>
        <w:rPr>
          <w:rFonts w:hint="eastAsia" w:ascii="宋体" w:hAnsi="宋体"/>
          <w:bCs/>
          <w:sz w:val="24"/>
          <w:szCs w:val="24"/>
        </w:rPr>
        <w:t xml:space="preserve"> （2）负责指导森德斯设备的空载调试和热负荷试车工作以及运行工艺的调试工作。</w:t>
      </w:r>
    </w:p>
    <w:p>
      <w:pPr>
        <w:spacing w:line="360" w:lineRule="auto"/>
        <w:ind w:firstLine="480" w:firstLineChars="200"/>
        <w:rPr>
          <w:rFonts w:ascii="宋体" w:hAnsi="宋体"/>
          <w:bCs/>
          <w:sz w:val="24"/>
          <w:szCs w:val="24"/>
        </w:rPr>
      </w:pPr>
      <w:r>
        <w:rPr>
          <w:rFonts w:hint="eastAsia" w:ascii="宋体" w:hAnsi="宋体"/>
          <w:bCs/>
          <w:sz w:val="24"/>
          <w:szCs w:val="24"/>
        </w:rPr>
        <w:t>2、电气调试的技术服务：</w:t>
      </w:r>
    </w:p>
    <w:p>
      <w:pPr>
        <w:spacing w:line="360" w:lineRule="auto"/>
        <w:rPr>
          <w:rFonts w:ascii="宋体"/>
          <w:bCs/>
          <w:sz w:val="24"/>
          <w:szCs w:val="24"/>
        </w:rPr>
      </w:pPr>
      <w:r>
        <w:rPr>
          <w:rFonts w:hint="eastAsia" w:ascii="宋体" w:hAnsi="宋体"/>
          <w:bCs/>
          <w:sz w:val="24"/>
          <w:szCs w:val="24"/>
        </w:rPr>
        <w:t xml:space="preserve">     （</w:t>
      </w:r>
      <w:r>
        <w:rPr>
          <w:rFonts w:ascii="宋体" w:hAnsi="宋体"/>
          <w:bCs/>
          <w:sz w:val="24"/>
          <w:szCs w:val="24"/>
        </w:rPr>
        <w:t>1</w:t>
      </w:r>
      <w:r>
        <w:rPr>
          <w:rFonts w:hint="eastAsia" w:ascii="宋体" w:hAnsi="宋体"/>
          <w:bCs/>
          <w:sz w:val="24"/>
          <w:szCs w:val="24"/>
        </w:rPr>
        <w:t>）</w:t>
      </w:r>
      <w:r>
        <w:rPr>
          <w:rFonts w:hint="eastAsia"/>
          <w:color w:val="000000"/>
          <w:sz w:val="24"/>
          <w:szCs w:val="24"/>
        </w:rPr>
        <w:t>芯架设备原四高线布置方式为</w:t>
      </w:r>
      <w:r>
        <w:rPr>
          <w:rFonts w:ascii="Arial" w:hAnsi="Arial" w:cs="Arial"/>
          <w:color w:val="000000"/>
          <w:sz w:val="24"/>
          <w:szCs w:val="24"/>
        </w:rPr>
        <w:t>L</w:t>
      </w:r>
      <w:r>
        <w:rPr>
          <w:rFonts w:hint="eastAsia"/>
          <w:color w:val="000000"/>
          <w:sz w:val="24"/>
          <w:szCs w:val="24"/>
        </w:rPr>
        <w:t>型，现布置形式为矩形。这部分改动需中标方重新设计系统及程序。</w:t>
      </w:r>
    </w:p>
    <w:p>
      <w:pPr>
        <w:spacing w:line="360" w:lineRule="auto"/>
        <w:ind w:firstLine="480" w:firstLineChars="200"/>
        <w:rPr>
          <w:rFonts w:ascii="宋体" w:hAnsi="宋体"/>
          <w:bCs/>
          <w:sz w:val="24"/>
          <w:szCs w:val="24"/>
        </w:rPr>
      </w:pPr>
      <w:r>
        <w:rPr>
          <w:rFonts w:ascii="宋体" w:hAnsi="宋体"/>
          <w:bCs/>
          <w:sz w:val="24"/>
          <w:szCs w:val="24"/>
        </w:rPr>
        <w:t xml:space="preserve"> </w:t>
      </w:r>
      <w:r>
        <w:rPr>
          <w:rFonts w:hint="eastAsia" w:ascii="宋体" w:hAnsi="宋体"/>
          <w:bCs/>
          <w:sz w:val="24"/>
          <w:szCs w:val="24"/>
        </w:rPr>
        <w:t>（</w:t>
      </w:r>
      <w:r>
        <w:rPr>
          <w:rFonts w:ascii="宋体" w:hAnsi="宋体"/>
          <w:bCs/>
          <w:sz w:val="24"/>
          <w:szCs w:val="24"/>
        </w:rPr>
        <w:t>2</w:t>
      </w:r>
      <w:r>
        <w:rPr>
          <w:rFonts w:hint="eastAsia" w:ascii="宋体" w:hAnsi="宋体"/>
          <w:bCs/>
          <w:sz w:val="24"/>
          <w:szCs w:val="24"/>
        </w:rPr>
        <w:t>）负责森德斯技术人员曾经进行的电气打点调试（由买方及施工单位协助）、人机界面参数的修改和软件升级改造服务，调试后应完全满足生产要求。</w:t>
      </w:r>
    </w:p>
    <w:p>
      <w:pPr>
        <w:spacing w:line="360" w:lineRule="auto"/>
        <w:ind w:firstLine="480" w:firstLineChars="200"/>
        <w:rPr>
          <w:rFonts w:ascii="宋体" w:hAnsi="宋体"/>
          <w:sz w:val="24"/>
          <w:szCs w:val="24"/>
        </w:rPr>
      </w:pPr>
      <w:r>
        <w:rPr>
          <w:rFonts w:hint="eastAsia" w:ascii="宋体" w:hAnsi="宋体"/>
          <w:bCs/>
          <w:sz w:val="24"/>
          <w:szCs w:val="24"/>
        </w:rPr>
        <w:t xml:space="preserve"> （3）负责指导森德斯电气设备的热负荷试车工作。</w:t>
      </w:r>
    </w:p>
    <w:p>
      <w:pPr>
        <w:spacing w:line="360" w:lineRule="auto"/>
        <w:ind w:firstLine="482" w:firstLineChars="200"/>
        <w:rPr>
          <w:rFonts w:ascii="宋体"/>
          <w:b/>
          <w:bCs/>
          <w:sz w:val="24"/>
          <w:szCs w:val="24"/>
        </w:rPr>
      </w:pPr>
      <w:r>
        <w:rPr>
          <w:rFonts w:hint="eastAsia" w:ascii="宋体" w:hAnsi="宋体"/>
          <w:b/>
          <w:bCs/>
          <w:sz w:val="24"/>
          <w:szCs w:val="24"/>
        </w:rPr>
        <w:t>（三）、现场培训：</w:t>
      </w:r>
    </w:p>
    <w:p>
      <w:pPr>
        <w:spacing w:line="360" w:lineRule="auto"/>
        <w:ind w:firstLine="480" w:firstLineChars="200"/>
        <w:rPr>
          <w:rFonts w:ascii="宋体"/>
          <w:bCs/>
          <w:sz w:val="24"/>
          <w:szCs w:val="24"/>
        </w:rPr>
      </w:pPr>
      <w:r>
        <w:rPr>
          <w:rFonts w:ascii="宋体" w:hAnsi="宋体"/>
          <w:bCs/>
          <w:sz w:val="24"/>
          <w:szCs w:val="24"/>
        </w:rPr>
        <w:t xml:space="preserve">   </w:t>
      </w:r>
      <w:r>
        <w:rPr>
          <w:rFonts w:hint="eastAsia" w:ascii="宋体" w:hAnsi="宋体"/>
          <w:bCs/>
          <w:sz w:val="24"/>
          <w:szCs w:val="24"/>
        </w:rPr>
        <w:t>在最终安装和热试阶段，卖方技术人员将给买方人员实际操作培训。使受训者更熟悉设备、使用设备。</w:t>
      </w:r>
    </w:p>
    <w:p>
      <w:pPr>
        <w:spacing w:line="360" w:lineRule="auto"/>
        <w:ind w:firstLine="480" w:firstLineChars="200"/>
        <w:rPr>
          <w:rFonts w:ascii="宋体" w:hAnsi="宋体"/>
          <w:bCs/>
          <w:sz w:val="24"/>
          <w:szCs w:val="24"/>
        </w:rPr>
      </w:pPr>
    </w:p>
    <w:p>
      <w:pPr>
        <w:adjustRightInd w:val="0"/>
        <w:snapToGrid w:val="0"/>
        <w:spacing w:line="360" w:lineRule="auto"/>
        <w:outlineLvl w:val="1"/>
        <w:rPr>
          <w:rFonts w:ascii="宋体" w:hAnsi="宋体"/>
          <w:b/>
          <w:sz w:val="24"/>
          <w:szCs w:val="24"/>
        </w:rPr>
      </w:pPr>
      <w:bookmarkStart w:id="8" w:name="_Toc325046368"/>
      <w:r>
        <w:rPr>
          <w:rFonts w:hint="eastAsia" w:ascii="宋体" w:hAnsi="宋体"/>
          <w:b/>
          <w:sz w:val="24"/>
          <w:szCs w:val="24"/>
        </w:rPr>
        <w:t xml:space="preserve">    四、服务时间</w:t>
      </w:r>
    </w:p>
    <w:p>
      <w:pPr>
        <w:spacing w:line="360" w:lineRule="auto"/>
        <w:rPr>
          <w:rFonts w:ascii="宋体" w:hAnsi="宋体"/>
          <w:bCs/>
          <w:sz w:val="24"/>
          <w:szCs w:val="24"/>
        </w:rPr>
      </w:pPr>
      <w:r>
        <w:rPr>
          <w:rFonts w:hint="eastAsia" w:ascii="宋体" w:hAnsi="宋体" w:cs="宋体"/>
          <w:bCs/>
          <w:iCs/>
          <w:sz w:val="28"/>
          <w:szCs w:val="28"/>
        </w:rPr>
        <w:t xml:space="preserve">   </w:t>
      </w:r>
      <w:r>
        <w:rPr>
          <w:rFonts w:hint="eastAsia" w:ascii="宋体" w:hAnsi="宋体"/>
          <w:bCs/>
          <w:sz w:val="24"/>
          <w:szCs w:val="24"/>
        </w:rPr>
        <w:t xml:space="preserve"> 1、每周工作5天，每天工作8小时；根据工程的进展情况，技术服务人员必须考虑加班。</w:t>
      </w:r>
    </w:p>
    <w:p>
      <w:pPr>
        <w:spacing w:line="360" w:lineRule="auto"/>
        <w:ind w:firstLine="480" w:firstLineChars="200"/>
        <w:rPr>
          <w:rFonts w:ascii="宋体" w:hAnsi="宋体"/>
          <w:bCs/>
          <w:sz w:val="24"/>
          <w:szCs w:val="24"/>
        </w:rPr>
      </w:pPr>
      <w:r>
        <w:rPr>
          <w:rFonts w:hint="eastAsia" w:ascii="宋体" w:hAnsi="宋体"/>
          <w:bCs/>
          <w:sz w:val="24"/>
          <w:szCs w:val="24"/>
        </w:rPr>
        <w:t>2、安装调试工程师 1人，30工作日（设备及电气安装调试）</w:t>
      </w:r>
    </w:p>
    <w:p>
      <w:pPr>
        <w:spacing w:line="360" w:lineRule="auto"/>
        <w:rPr>
          <w:rFonts w:ascii="宋体" w:hAnsi="宋体"/>
          <w:b/>
          <w:sz w:val="24"/>
          <w:szCs w:val="24"/>
        </w:rPr>
      </w:pPr>
      <w:r>
        <w:rPr>
          <w:rFonts w:hint="eastAsia" w:ascii="宋体" w:hAnsi="宋体"/>
          <w:bCs/>
          <w:sz w:val="24"/>
          <w:szCs w:val="24"/>
        </w:rPr>
        <w:t xml:space="preserve">    </w:t>
      </w:r>
      <w:r>
        <w:rPr>
          <w:rFonts w:hint="eastAsia" w:ascii="宋体" w:hAnsi="宋体"/>
          <w:b/>
          <w:sz w:val="24"/>
          <w:szCs w:val="24"/>
        </w:rPr>
        <w:t xml:space="preserve"> 五、</w:t>
      </w:r>
      <w:r>
        <w:rPr>
          <w:rFonts w:ascii="宋体" w:hAnsi="宋体"/>
          <w:b/>
          <w:sz w:val="24"/>
          <w:szCs w:val="24"/>
        </w:rPr>
        <w:t>服务要求</w:t>
      </w:r>
    </w:p>
    <w:p>
      <w:pPr>
        <w:adjustRightInd w:val="0"/>
        <w:snapToGrid w:val="0"/>
        <w:spacing w:line="360" w:lineRule="auto"/>
        <w:ind w:firstLine="480" w:firstLineChars="200"/>
        <w:rPr>
          <w:rFonts w:ascii="宋体" w:hAnsi="宋体"/>
          <w:bCs/>
          <w:sz w:val="24"/>
          <w:szCs w:val="24"/>
        </w:rPr>
      </w:pPr>
      <w:r>
        <w:rPr>
          <w:rFonts w:ascii="宋体" w:hAnsi="宋体"/>
          <w:bCs/>
          <w:sz w:val="24"/>
          <w:szCs w:val="24"/>
        </w:rPr>
        <w:t>1、</w:t>
      </w:r>
      <w:r>
        <w:rPr>
          <w:rFonts w:hint="eastAsia" w:ascii="宋体" w:hAnsi="宋体"/>
          <w:bCs/>
          <w:sz w:val="24"/>
          <w:szCs w:val="24"/>
        </w:rPr>
        <w:t>业务操作程序。投标人</w:t>
      </w:r>
      <w:r>
        <w:rPr>
          <w:rFonts w:ascii="宋体" w:hAnsi="宋体"/>
          <w:bCs/>
          <w:sz w:val="24"/>
          <w:szCs w:val="24"/>
        </w:rPr>
        <w:t>应严格按照招标人的要求开展</w:t>
      </w:r>
      <w:r>
        <w:rPr>
          <w:rFonts w:hint="eastAsia" w:ascii="宋体" w:hAnsi="宋体"/>
          <w:bCs/>
          <w:sz w:val="24"/>
          <w:szCs w:val="24"/>
        </w:rPr>
        <w:t>技术服务</w:t>
      </w:r>
      <w:r>
        <w:rPr>
          <w:rFonts w:ascii="宋体" w:hAnsi="宋体"/>
          <w:bCs/>
          <w:sz w:val="24"/>
          <w:szCs w:val="24"/>
        </w:rPr>
        <w:t>工作。同时，招标人保留按有关</w:t>
      </w:r>
      <w:r>
        <w:rPr>
          <w:rFonts w:hint="eastAsia" w:ascii="宋体" w:hAnsi="宋体"/>
          <w:bCs/>
          <w:sz w:val="24"/>
          <w:szCs w:val="24"/>
        </w:rPr>
        <w:t>工程</w:t>
      </w:r>
      <w:r>
        <w:rPr>
          <w:rFonts w:ascii="宋体" w:hAnsi="宋体"/>
          <w:bCs/>
          <w:sz w:val="24"/>
          <w:szCs w:val="24"/>
        </w:rPr>
        <w:t>需要进一步调整具体要求的权利。</w:t>
      </w:r>
    </w:p>
    <w:p>
      <w:pPr>
        <w:adjustRightInd w:val="0"/>
        <w:snapToGrid w:val="0"/>
        <w:spacing w:line="360" w:lineRule="auto"/>
        <w:ind w:firstLine="480" w:firstLineChars="200"/>
        <w:rPr>
          <w:rFonts w:ascii="宋体" w:hAnsi="宋体"/>
          <w:bCs/>
          <w:sz w:val="24"/>
          <w:szCs w:val="24"/>
        </w:rPr>
      </w:pPr>
      <w:r>
        <w:rPr>
          <w:rFonts w:ascii="宋体" w:hAnsi="宋体"/>
          <w:bCs/>
          <w:sz w:val="24"/>
          <w:szCs w:val="24"/>
        </w:rPr>
        <w:t>2、时限要求。</w:t>
      </w:r>
      <w:r>
        <w:rPr>
          <w:rFonts w:hint="eastAsia" w:ascii="宋体" w:hAnsi="宋体"/>
          <w:bCs/>
          <w:sz w:val="24"/>
          <w:szCs w:val="24"/>
        </w:rPr>
        <w:t>投标人</w:t>
      </w:r>
      <w:r>
        <w:rPr>
          <w:rFonts w:ascii="宋体" w:hAnsi="宋体"/>
          <w:bCs/>
          <w:sz w:val="24"/>
          <w:szCs w:val="24"/>
        </w:rPr>
        <w:t>应在招标人要求的</w:t>
      </w:r>
      <w:r>
        <w:rPr>
          <w:rFonts w:hint="eastAsia" w:ascii="宋体" w:hAnsi="宋体"/>
          <w:bCs/>
          <w:sz w:val="24"/>
          <w:szCs w:val="24"/>
        </w:rPr>
        <w:t>服务时间</w:t>
      </w:r>
      <w:r>
        <w:rPr>
          <w:rFonts w:ascii="宋体" w:hAnsi="宋体"/>
          <w:bCs/>
          <w:sz w:val="24"/>
          <w:szCs w:val="24"/>
        </w:rPr>
        <w:t>内完成招标人所委托的相关业务。</w:t>
      </w:r>
    </w:p>
    <w:p>
      <w:pPr>
        <w:adjustRightInd w:val="0"/>
        <w:snapToGrid w:val="0"/>
        <w:spacing w:line="360" w:lineRule="auto"/>
        <w:ind w:firstLine="480" w:firstLineChars="200"/>
        <w:rPr>
          <w:rFonts w:ascii="宋体" w:hAnsi="宋体"/>
          <w:bCs/>
          <w:sz w:val="24"/>
          <w:szCs w:val="24"/>
        </w:rPr>
      </w:pPr>
      <w:r>
        <w:rPr>
          <w:rFonts w:ascii="宋体" w:hAnsi="宋体"/>
          <w:bCs/>
          <w:sz w:val="24"/>
          <w:szCs w:val="24"/>
        </w:rPr>
        <w:t>3、人员素质。</w:t>
      </w:r>
      <w:r>
        <w:rPr>
          <w:rFonts w:hint="eastAsia" w:ascii="宋体" w:hAnsi="宋体"/>
          <w:bCs/>
          <w:sz w:val="24"/>
          <w:szCs w:val="24"/>
        </w:rPr>
        <w:t>投标人</w:t>
      </w:r>
      <w:r>
        <w:rPr>
          <w:rFonts w:ascii="宋体" w:hAnsi="宋体"/>
          <w:bCs/>
          <w:sz w:val="24"/>
          <w:szCs w:val="24"/>
        </w:rPr>
        <w:t>应向招标人提供项目</w:t>
      </w:r>
      <w:r>
        <w:rPr>
          <w:rFonts w:hint="eastAsia" w:ascii="宋体" w:hAnsi="宋体"/>
          <w:bCs/>
          <w:sz w:val="24"/>
          <w:szCs w:val="24"/>
        </w:rPr>
        <w:t>各专业</w:t>
      </w:r>
      <w:r>
        <w:rPr>
          <w:rFonts w:ascii="宋体" w:hAnsi="宋体"/>
          <w:bCs/>
          <w:sz w:val="24"/>
          <w:szCs w:val="24"/>
        </w:rPr>
        <w:t>人员名单，项目</w:t>
      </w:r>
      <w:r>
        <w:rPr>
          <w:rFonts w:hint="eastAsia" w:ascii="宋体" w:hAnsi="宋体"/>
          <w:bCs/>
          <w:sz w:val="24"/>
          <w:szCs w:val="24"/>
        </w:rPr>
        <w:t>专业</w:t>
      </w:r>
      <w:r>
        <w:rPr>
          <w:rFonts w:ascii="宋体" w:hAnsi="宋体"/>
          <w:bCs/>
          <w:sz w:val="24"/>
          <w:szCs w:val="24"/>
        </w:rPr>
        <w:t>人员应有从事相应专业3年以上工作经历。</w:t>
      </w:r>
    </w:p>
    <w:p>
      <w:pPr>
        <w:adjustRightInd w:val="0"/>
        <w:snapToGrid w:val="0"/>
        <w:spacing w:line="360" w:lineRule="auto"/>
        <w:ind w:firstLine="480" w:firstLineChars="200"/>
        <w:rPr>
          <w:rFonts w:ascii="宋体" w:hAnsi="宋体"/>
          <w:bCs/>
          <w:sz w:val="24"/>
          <w:szCs w:val="24"/>
        </w:rPr>
      </w:pPr>
      <w:r>
        <w:rPr>
          <w:rFonts w:ascii="宋体" w:hAnsi="宋体"/>
          <w:bCs/>
          <w:sz w:val="24"/>
          <w:szCs w:val="24"/>
        </w:rPr>
        <w:t>4、质量保障。</w:t>
      </w:r>
      <w:r>
        <w:rPr>
          <w:rFonts w:hint="eastAsia" w:ascii="宋体" w:hAnsi="宋体"/>
          <w:bCs/>
          <w:sz w:val="24"/>
          <w:szCs w:val="24"/>
        </w:rPr>
        <w:t>投标人</w:t>
      </w:r>
      <w:r>
        <w:rPr>
          <w:rFonts w:ascii="宋体" w:hAnsi="宋体"/>
          <w:bCs/>
          <w:sz w:val="24"/>
          <w:szCs w:val="24"/>
        </w:rPr>
        <w:t>应建立严格的内部</w:t>
      </w:r>
      <w:r>
        <w:rPr>
          <w:rFonts w:hint="eastAsia" w:ascii="宋体" w:hAnsi="宋体"/>
          <w:bCs/>
          <w:sz w:val="24"/>
          <w:szCs w:val="24"/>
        </w:rPr>
        <w:t>管理</w:t>
      </w:r>
      <w:r>
        <w:rPr>
          <w:rFonts w:ascii="宋体" w:hAnsi="宋体"/>
          <w:bCs/>
          <w:sz w:val="24"/>
          <w:szCs w:val="24"/>
        </w:rPr>
        <w:t>制度，保留</w:t>
      </w:r>
      <w:r>
        <w:rPr>
          <w:rFonts w:hint="eastAsia" w:ascii="宋体" w:hAnsi="宋体"/>
          <w:bCs/>
          <w:sz w:val="24"/>
          <w:szCs w:val="24"/>
        </w:rPr>
        <w:t>并提供给招标人</w:t>
      </w:r>
      <w:r>
        <w:rPr>
          <w:rFonts w:ascii="宋体" w:hAnsi="宋体"/>
          <w:bCs/>
          <w:sz w:val="24"/>
          <w:szCs w:val="24"/>
        </w:rPr>
        <w:t>质量全过程控制的记录</w:t>
      </w:r>
      <w:r>
        <w:rPr>
          <w:rFonts w:hint="eastAsia" w:ascii="宋体" w:hAnsi="宋体"/>
          <w:bCs/>
          <w:sz w:val="24"/>
          <w:szCs w:val="24"/>
        </w:rPr>
        <w:t>；投标人</w:t>
      </w:r>
      <w:r>
        <w:rPr>
          <w:rFonts w:ascii="宋体" w:hAnsi="宋体"/>
          <w:bCs/>
          <w:sz w:val="24"/>
          <w:szCs w:val="24"/>
        </w:rPr>
        <w:t>对招标人委托</w:t>
      </w:r>
      <w:r>
        <w:rPr>
          <w:rFonts w:hint="eastAsia" w:ascii="宋体" w:hAnsi="宋体"/>
          <w:bCs/>
          <w:sz w:val="24"/>
          <w:szCs w:val="24"/>
        </w:rPr>
        <w:t>技术服务</w:t>
      </w:r>
      <w:r>
        <w:rPr>
          <w:rFonts w:ascii="宋体" w:hAnsi="宋体"/>
          <w:bCs/>
          <w:sz w:val="24"/>
          <w:szCs w:val="24"/>
        </w:rPr>
        <w:t>事项的正确性负责，并承担全部的法律责任。如因</w:t>
      </w:r>
      <w:r>
        <w:rPr>
          <w:rFonts w:hint="eastAsia" w:ascii="宋体" w:hAnsi="宋体"/>
          <w:bCs/>
          <w:sz w:val="24"/>
          <w:szCs w:val="24"/>
        </w:rPr>
        <w:t>投标人技术方案或数据的</w:t>
      </w:r>
      <w:r>
        <w:rPr>
          <w:rFonts w:ascii="宋体" w:hAnsi="宋体"/>
          <w:bCs/>
          <w:sz w:val="24"/>
          <w:szCs w:val="24"/>
        </w:rPr>
        <w:t>不真实、不正确</w:t>
      </w:r>
      <w:r>
        <w:rPr>
          <w:rFonts w:hint="eastAsia" w:ascii="宋体" w:hAnsi="宋体"/>
          <w:bCs/>
          <w:sz w:val="24"/>
          <w:szCs w:val="24"/>
        </w:rPr>
        <w:t>等给</w:t>
      </w:r>
      <w:r>
        <w:rPr>
          <w:rFonts w:ascii="宋体" w:hAnsi="宋体"/>
          <w:bCs/>
          <w:sz w:val="24"/>
          <w:szCs w:val="24"/>
        </w:rPr>
        <w:t>招标人造成的损失，全部由</w:t>
      </w:r>
      <w:r>
        <w:rPr>
          <w:rFonts w:hint="eastAsia" w:ascii="宋体" w:hAnsi="宋体"/>
          <w:bCs/>
          <w:sz w:val="24"/>
          <w:szCs w:val="24"/>
        </w:rPr>
        <w:t>投标人</w:t>
      </w:r>
      <w:r>
        <w:rPr>
          <w:rFonts w:ascii="宋体" w:hAnsi="宋体"/>
          <w:bCs/>
          <w:sz w:val="24"/>
          <w:szCs w:val="24"/>
        </w:rPr>
        <w:t>负担。</w:t>
      </w:r>
    </w:p>
    <w:p>
      <w:pPr>
        <w:adjustRightInd w:val="0"/>
        <w:snapToGrid w:val="0"/>
        <w:spacing w:line="360" w:lineRule="auto"/>
        <w:ind w:firstLine="480" w:firstLineChars="200"/>
        <w:rPr>
          <w:rFonts w:ascii="宋体" w:hAnsi="宋体"/>
          <w:bCs/>
          <w:sz w:val="24"/>
          <w:szCs w:val="24"/>
        </w:rPr>
      </w:pPr>
      <w:r>
        <w:rPr>
          <w:rFonts w:ascii="宋体" w:hAnsi="宋体"/>
          <w:bCs/>
          <w:sz w:val="24"/>
          <w:szCs w:val="24"/>
        </w:rPr>
        <w:t>5、资料保全。</w:t>
      </w:r>
      <w:r>
        <w:rPr>
          <w:rFonts w:hint="eastAsia" w:ascii="宋体" w:hAnsi="宋体"/>
          <w:bCs/>
          <w:sz w:val="24"/>
          <w:szCs w:val="24"/>
        </w:rPr>
        <w:t>投标人</w:t>
      </w:r>
      <w:r>
        <w:rPr>
          <w:rFonts w:ascii="宋体" w:hAnsi="宋体"/>
          <w:bCs/>
          <w:sz w:val="24"/>
          <w:szCs w:val="24"/>
        </w:rPr>
        <w:t>应负责确保</w:t>
      </w:r>
      <w:r>
        <w:rPr>
          <w:rFonts w:hint="eastAsia" w:ascii="宋体" w:hAnsi="宋体"/>
          <w:bCs/>
          <w:sz w:val="24"/>
          <w:szCs w:val="24"/>
        </w:rPr>
        <w:t>服务</w:t>
      </w:r>
      <w:r>
        <w:rPr>
          <w:rFonts w:ascii="宋体" w:hAnsi="宋体"/>
          <w:bCs/>
          <w:sz w:val="24"/>
          <w:szCs w:val="24"/>
        </w:rPr>
        <w:t>项目资料的完备、安全、无损。</w:t>
      </w:r>
    </w:p>
    <w:p>
      <w:pPr>
        <w:adjustRightInd w:val="0"/>
        <w:snapToGrid w:val="0"/>
        <w:spacing w:line="360" w:lineRule="auto"/>
        <w:ind w:firstLine="480" w:firstLineChars="200"/>
        <w:rPr>
          <w:rFonts w:ascii="宋体" w:hAnsi="宋体"/>
          <w:bCs/>
          <w:sz w:val="24"/>
          <w:szCs w:val="24"/>
        </w:rPr>
      </w:pPr>
      <w:r>
        <w:rPr>
          <w:rFonts w:hint="eastAsia" w:ascii="宋体" w:hAnsi="宋体"/>
          <w:bCs/>
          <w:sz w:val="24"/>
          <w:szCs w:val="24"/>
        </w:rPr>
        <w:t>6</w:t>
      </w:r>
      <w:r>
        <w:rPr>
          <w:rFonts w:ascii="宋体" w:hAnsi="宋体"/>
          <w:bCs/>
          <w:sz w:val="24"/>
          <w:szCs w:val="24"/>
        </w:rPr>
        <w:t>、保密制度。</w:t>
      </w:r>
      <w:r>
        <w:rPr>
          <w:rFonts w:hint="eastAsia" w:ascii="宋体" w:hAnsi="宋体"/>
          <w:bCs/>
          <w:sz w:val="24"/>
          <w:szCs w:val="24"/>
        </w:rPr>
        <w:t>投标人</w:t>
      </w:r>
      <w:r>
        <w:rPr>
          <w:rFonts w:ascii="宋体" w:hAnsi="宋体"/>
          <w:bCs/>
          <w:sz w:val="24"/>
          <w:szCs w:val="24"/>
        </w:rPr>
        <w:t>任何时候不得泄露与委托业务有关的国家机密和商业秘密等信息。</w:t>
      </w:r>
    </w:p>
    <w:p>
      <w:pPr>
        <w:adjustRightInd w:val="0"/>
        <w:snapToGrid w:val="0"/>
        <w:spacing w:line="360" w:lineRule="auto"/>
        <w:outlineLvl w:val="1"/>
        <w:rPr>
          <w:rFonts w:ascii="宋体" w:hAnsi="宋体"/>
          <w:b/>
          <w:sz w:val="24"/>
          <w:szCs w:val="24"/>
        </w:rPr>
      </w:pPr>
      <w:r>
        <w:rPr>
          <w:rFonts w:hint="eastAsia" w:ascii="宋体" w:hAnsi="宋体"/>
          <w:bCs/>
          <w:sz w:val="24"/>
          <w:szCs w:val="24"/>
        </w:rPr>
        <w:t xml:space="preserve">    7、招标方将组织专业监督人员或部门对投标方出具的服务成果依据合同中规定的考核标准，进行审查及考核。</w:t>
      </w:r>
      <w:r>
        <w:rPr>
          <w:rFonts w:hint="eastAsia" w:ascii="宋体" w:hAnsi="宋体"/>
          <w:b/>
          <w:sz w:val="24"/>
          <w:szCs w:val="24"/>
        </w:rPr>
        <w:t xml:space="preserve"> </w:t>
      </w:r>
    </w:p>
    <w:p>
      <w:pPr>
        <w:adjustRightInd w:val="0"/>
        <w:snapToGrid w:val="0"/>
        <w:spacing w:line="360" w:lineRule="auto"/>
        <w:outlineLvl w:val="1"/>
        <w:rPr>
          <w:rFonts w:ascii="宋体" w:hAnsi="宋体"/>
          <w:b/>
          <w:sz w:val="24"/>
          <w:szCs w:val="24"/>
        </w:rPr>
      </w:pPr>
      <w:r>
        <w:rPr>
          <w:rFonts w:hint="eastAsia" w:ascii="宋体" w:hAnsi="宋体"/>
          <w:b/>
          <w:sz w:val="24"/>
          <w:szCs w:val="24"/>
        </w:rPr>
        <w:t xml:space="preserve">   六、其它</w:t>
      </w:r>
    </w:p>
    <w:p>
      <w:pPr>
        <w:spacing w:line="360" w:lineRule="auto"/>
        <w:rPr>
          <w:rFonts w:ascii="宋体" w:hAnsi="宋体"/>
          <w:bCs/>
          <w:sz w:val="24"/>
          <w:szCs w:val="24"/>
        </w:rPr>
      </w:pPr>
      <w:r>
        <w:rPr>
          <w:rFonts w:hint="eastAsia" w:ascii="宋体" w:hAnsi="宋体"/>
          <w:bCs/>
          <w:sz w:val="24"/>
          <w:szCs w:val="24"/>
        </w:rPr>
        <w:t xml:space="preserve">   1、中标方提供森德斯设备的安装顺序计划表和技术人员在现场的技术服务工作天数。</w:t>
      </w:r>
    </w:p>
    <w:p>
      <w:pPr>
        <w:spacing w:line="360" w:lineRule="auto"/>
        <w:rPr>
          <w:rFonts w:ascii="宋体" w:hAnsi="宋体"/>
          <w:bCs/>
          <w:sz w:val="24"/>
          <w:szCs w:val="24"/>
        </w:rPr>
      </w:pPr>
      <w:r>
        <w:rPr>
          <w:rFonts w:hint="eastAsia" w:ascii="宋体" w:hAnsi="宋体"/>
          <w:bCs/>
          <w:sz w:val="24"/>
          <w:szCs w:val="24"/>
        </w:rPr>
        <w:t xml:space="preserve">   2、中标方的服务人员可以胶南市或青钢新区周围的酒店，费用自理；招标方负责早晚的酒店工地间的车辆交通及中午的食堂工作餐。</w:t>
      </w:r>
    </w:p>
    <w:bookmarkEnd w:id="8"/>
    <w:p>
      <w:pPr>
        <w:spacing w:line="500" w:lineRule="exact"/>
        <w:ind w:firstLine="480" w:firstLineChars="200"/>
        <w:rPr>
          <w:rFonts w:ascii="宋体" w:hAnsi="宋体"/>
          <w:bCs/>
          <w:sz w:val="24"/>
          <w:szCs w:val="24"/>
        </w:rPr>
      </w:pPr>
      <w:r>
        <w:rPr>
          <w:rFonts w:hint="eastAsia" w:ascii="宋体" w:hAnsi="宋体"/>
          <w:bCs/>
          <w:sz w:val="24"/>
          <w:szCs w:val="24"/>
        </w:rPr>
        <w:t>3、中标人对其服务人员的一切行为负全部责任。</w:t>
      </w:r>
    </w:p>
    <w:p>
      <w:pPr>
        <w:spacing w:line="500" w:lineRule="exact"/>
        <w:ind w:firstLine="480" w:firstLineChars="200"/>
        <w:rPr>
          <w:rFonts w:ascii="宋体" w:hAnsi="宋体"/>
          <w:bCs/>
          <w:sz w:val="24"/>
          <w:szCs w:val="24"/>
        </w:rPr>
      </w:pPr>
      <w:r>
        <w:rPr>
          <w:rFonts w:hint="eastAsia" w:ascii="宋体" w:hAnsi="宋体"/>
          <w:bCs/>
          <w:sz w:val="24"/>
          <w:szCs w:val="24"/>
        </w:rPr>
        <w:t>4、中标人服务人员的正常更换需事先与招标人协商。</w:t>
      </w:r>
    </w:p>
    <w:p>
      <w:pPr>
        <w:adjustRightInd w:val="0"/>
        <w:snapToGrid w:val="0"/>
        <w:spacing w:line="360" w:lineRule="auto"/>
        <w:ind w:firstLine="480" w:firstLineChars="200"/>
        <w:rPr>
          <w:sz w:val="24"/>
          <w:szCs w:val="24"/>
        </w:rPr>
      </w:pPr>
    </w:p>
    <w:p>
      <w:pPr>
        <w:adjustRightInd w:val="0"/>
        <w:snapToGrid w:val="0"/>
        <w:spacing w:line="360" w:lineRule="auto"/>
        <w:ind w:firstLine="480" w:firstLineChars="200"/>
        <w:rPr>
          <w:sz w:val="24"/>
          <w:szCs w:val="24"/>
        </w:rPr>
      </w:pPr>
    </w:p>
    <w:bookmarkEnd w:id="6"/>
    <w:p>
      <w:pPr>
        <w:adjustRightInd w:val="0"/>
        <w:snapToGrid w:val="0"/>
        <w:spacing w:line="360" w:lineRule="auto"/>
        <w:outlineLvl w:val="0"/>
        <w:rPr>
          <w:rFonts w:ascii="宋体" w:hAnsi="宋体"/>
          <w:b/>
          <w:sz w:val="36"/>
          <w:szCs w:val="36"/>
        </w:rPr>
      </w:pPr>
      <w:bookmarkStart w:id="9" w:name="_Toc223919920"/>
      <w:bookmarkStart w:id="10" w:name="_Toc325046379"/>
      <w:r>
        <w:rPr>
          <w:rFonts w:hint="eastAsia" w:ascii="宋体" w:hAnsi="宋体"/>
          <w:b/>
          <w:sz w:val="36"/>
          <w:szCs w:val="36"/>
        </w:rPr>
        <w:t xml:space="preserve">           </w:t>
      </w: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sz w:val="36"/>
          <w:szCs w:val="36"/>
        </w:rPr>
      </w:pPr>
    </w:p>
    <w:p>
      <w:pPr>
        <w:adjustRightInd w:val="0"/>
        <w:snapToGrid w:val="0"/>
        <w:spacing w:line="360" w:lineRule="auto"/>
        <w:outlineLvl w:val="0"/>
        <w:rPr>
          <w:rFonts w:ascii="宋体" w:hAnsi="宋体"/>
          <w:b/>
          <w:bCs/>
          <w:sz w:val="36"/>
          <w:szCs w:val="36"/>
        </w:rPr>
      </w:pPr>
      <w:r>
        <w:rPr>
          <w:rFonts w:hint="eastAsia" w:ascii="宋体" w:hAnsi="宋体"/>
          <w:b/>
          <w:sz w:val="36"/>
          <w:szCs w:val="36"/>
        </w:rPr>
        <w:t xml:space="preserve">                </w:t>
      </w:r>
      <w:r>
        <w:rPr>
          <w:rFonts w:ascii="宋体" w:hAnsi="宋体"/>
          <w:b/>
          <w:sz w:val="36"/>
          <w:szCs w:val="36"/>
        </w:rPr>
        <w:t>第</w:t>
      </w:r>
      <w:r>
        <w:rPr>
          <w:rFonts w:hint="eastAsia" w:ascii="宋体" w:hAnsi="宋体"/>
          <w:b/>
          <w:sz w:val="36"/>
          <w:szCs w:val="36"/>
        </w:rPr>
        <w:t>四章</w:t>
      </w:r>
      <w:r>
        <w:rPr>
          <w:rFonts w:ascii="宋体" w:hAnsi="宋体"/>
          <w:b/>
          <w:sz w:val="36"/>
          <w:szCs w:val="36"/>
        </w:rPr>
        <w:t xml:space="preserve">  开标、评标和定标</w:t>
      </w:r>
      <w:bookmarkEnd w:id="9"/>
      <w:bookmarkEnd w:id="10"/>
      <w:bookmarkStart w:id="11" w:name="_Toc138428744"/>
      <w:bookmarkStart w:id="12" w:name="_Toc139173720"/>
    </w:p>
    <w:p>
      <w:pPr>
        <w:adjustRightInd w:val="0"/>
        <w:snapToGrid w:val="0"/>
        <w:spacing w:line="360" w:lineRule="auto"/>
        <w:ind w:firstLine="540" w:firstLineChars="224"/>
        <w:outlineLvl w:val="1"/>
        <w:rPr>
          <w:rFonts w:ascii="宋体" w:hAnsi="宋体"/>
          <w:b/>
          <w:bCs/>
          <w:sz w:val="24"/>
          <w:szCs w:val="24"/>
        </w:rPr>
      </w:pPr>
      <w:bookmarkStart w:id="13" w:name="_Toc325046380"/>
      <w:r>
        <w:rPr>
          <w:rFonts w:ascii="宋体" w:hAnsi="宋体"/>
          <w:b/>
          <w:sz w:val="24"/>
          <w:szCs w:val="24"/>
        </w:rPr>
        <w:t>一、开标</w:t>
      </w:r>
      <w:bookmarkEnd w:id="11"/>
      <w:bookmarkEnd w:id="12"/>
      <w:bookmarkEnd w:id="13"/>
    </w:p>
    <w:p>
      <w:pPr>
        <w:adjustRightInd w:val="0"/>
        <w:snapToGrid w:val="0"/>
        <w:spacing w:line="360" w:lineRule="auto"/>
        <w:ind w:firstLine="538" w:firstLineChars="224"/>
        <w:rPr>
          <w:rFonts w:ascii="宋体" w:hAnsi="宋体"/>
          <w:sz w:val="24"/>
          <w:szCs w:val="24"/>
        </w:rPr>
      </w:pPr>
      <w:r>
        <w:rPr>
          <w:rFonts w:ascii="宋体" w:hAnsi="宋体"/>
          <w:sz w:val="24"/>
          <w:szCs w:val="24"/>
        </w:rPr>
        <w:t>按照招标文件第一部分的规定的时间和地点开标。</w:t>
      </w:r>
    </w:p>
    <w:p>
      <w:pPr>
        <w:tabs>
          <w:tab w:val="left" w:pos="430"/>
        </w:tabs>
        <w:spacing w:line="360" w:lineRule="auto"/>
        <w:ind w:firstLine="480" w:firstLineChars="200"/>
        <w:rPr>
          <w:rFonts w:ascii="宋体" w:hAnsi="宋体"/>
          <w:bCs/>
          <w:sz w:val="24"/>
          <w:szCs w:val="24"/>
        </w:rPr>
      </w:pPr>
      <w:r>
        <w:rPr>
          <w:rFonts w:hint="eastAsia" w:ascii="宋体" w:hAnsi="宋体"/>
          <w:bCs/>
          <w:sz w:val="24"/>
          <w:szCs w:val="24"/>
        </w:rPr>
        <w:t>1. 投标人的法定代表人应参加开标会议，若法定代表人不能参加，须由法定代表人委托代理人持《授权委托书》参加。参加开标会的人员应随身携带：</w:t>
      </w:r>
    </w:p>
    <w:p>
      <w:pPr>
        <w:tabs>
          <w:tab w:val="left" w:pos="430"/>
        </w:tabs>
        <w:spacing w:line="360" w:lineRule="auto"/>
        <w:ind w:firstLine="360" w:firstLineChars="150"/>
        <w:rPr>
          <w:rFonts w:ascii="宋体" w:hAnsi="宋体"/>
          <w:bCs/>
          <w:sz w:val="24"/>
          <w:szCs w:val="24"/>
        </w:rPr>
      </w:pPr>
      <w:r>
        <w:rPr>
          <w:rFonts w:hint="eastAsia" w:ascii="宋体" w:hAnsi="宋体"/>
          <w:bCs/>
          <w:sz w:val="24"/>
          <w:szCs w:val="24"/>
        </w:rPr>
        <w:t>1.1 本人身份证原件；</w:t>
      </w:r>
    </w:p>
    <w:p>
      <w:pPr>
        <w:tabs>
          <w:tab w:val="left" w:pos="430"/>
        </w:tabs>
        <w:spacing w:line="360" w:lineRule="auto"/>
        <w:ind w:firstLine="360" w:firstLineChars="150"/>
        <w:rPr>
          <w:rFonts w:ascii="宋体" w:hAnsi="宋体"/>
          <w:bCs/>
          <w:sz w:val="24"/>
          <w:szCs w:val="24"/>
        </w:rPr>
      </w:pPr>
      <w:r>
        <w:rPr>
          <w:rFonts w:hint="eastAsia" w:ascii="宋体" w:hAnsi="宋体"/>
          <w:bCs/>
          <w:sz w:val="24"/>
          <w:szCs w:val="24"/>
        </w:rPr>
        <w:t>1.2 如法定代表人亲自参加开标会，应带法定代表人资格证明，若法定代表人不能参加，须由法定代表人委托代理人持授权委托书原件（授权委托书除装订在标书中，还应在唱标前交一份给工作人员）参加，且法定代表人委托代理人限本公司职员；</w:t>
      </w:r>
    </w:p>
    <w:p>
      <w:pPr>
        <w:tabs>
          <w:tab w:val="left" w:pos="430"/>
        </w:tabs>
        <w:spacing w:line="360" w:lineRule="auto"/>
        <w:ind w:firstLine="480" w:firstLineChars="200"/>
        <w:rPr>
          <w:rFonts w:ascii="宋体" w:hAnsi="宋体"/>
          <w:bCs/>
          <w:sz w:val="24"/>
          <w:szCs w:val="24"/>
        </w:rPr>
      </w:pPr>
      <w:r>
        <w:rPr>
          <w:rFonts w:hint="eastAsia" w:ascii="宋体" w:hAnsi="宋体"/>
          <w:bCs/>
          <w:sz w:val="24"/>
          <w:szCs w:val="24"/>
        </w:rPr>
        <w:t>1.3营业执照副本原件、资质证书副本原件、税务登记证；</w:t>
      </w:r>
    </w:p>
    <w:p>
      <w:pPr>
        <w:tabs>
          <w:tab w:val="left" w:pos="430"/>
        </w:tabs>
        <w:spacing w:line="360" w:lineRule="auto"/>
        <w:ind w:firstLine="480" w:firstLineChars="200"/>
        <w:rPr>
          <w:rFonts w:ascii="宋体" w:hAnsi="宋体"/>
          <w:bCs/>
          <w:sz w:val="24"/>
          <w:szCs w:val="24"/>
        </w:rPr>
      </w:pPr>
      <w:r>
        <w:rPr>
          <w:rFonts w:hint="eastAsia" w:ascii="宋体" w:hAnsi="宋体"/>
          <w:bCs/>
          <w:sz w:val="24"/>
          <w:szCs w:val="24"/>
        </w:rPr>
        <w:t>1.4</w:t>
      </w:r>
      <w:r>
        <w:rPr>
          <w:rFonts w:hint="eastAsia" w:ascii="宋体" w:hAnsi="宋体" w:cs="宋体"/>
          <w:bCs/>
          <w:kern w:val="0"/>
          <w:sz w:val="24"/>
          <w:szCs w:val="24"/>
        </w:rPr>
        <w:t>项目负责人的注册执业资格证书原件、职称证书原件；</w:t>
      </w:r>
    </w:p>
    <w:p>
      <w:pPr>
        <w:tabs>
          <w:tab w:val="left" w:pos="430"/>
        </w:tabs>
        <w:spacing w:line="360" w:lineRule="auto"/>
        <w:ind w:firstLine="478" w:firstLineChars="199"/>
        <w:rPr>
          <w:rFonts w:ascii="宋体" w:hAnsi="宋体"/>
          <w:bCs/>
          <w:sz w:val="24"/>
          <w:szCs w:val="24"/>
        </w:rPr>
      </w:pPr>
      <w:r>
        <w:rPr>
          <w:rFonts w:hint="eastAsia" w:ascii="宋体" w:hAnsi="宋体"/>
          <w:bCs/>
          <w:sz w:val="24"/>
          <w:szCs w:val="24"/>
        </w:rPr>
        <w:t>没有按以上规定提交有关证明材料原件的，投标文件招标人将不予接收。</w:t>
      </w:r>
    </w:p>
    <w:p>
      <w:pPr>
        <w:adjustRightInd w:val="0"/>
        <w:snapToGrid w:val="0"/>
        <w:spacing w:line="360" w:lineRule="auto"/>
        <w:ind w:firstLine="540" w:firstLineChars="224"/>
        <w:outlineLvl w:val="1"/>
        <w:rPr>
          <w:rFonts w:ascii="宋体" w:hAnsi="宋体"/>
          <w:b/>
          <w:sz w:val="24"/>
          <w:szCs w:val="24"/>
        </w:rPr>
      </w:pPr>
      <w:bookmarkStart w:id="14" w:name="_Toc93427297"/>
      <w:bookmarkStart w:id="15" w:name="_Toc135297841"/>
      <w:bookmarkStart w:id="16" w:name="_Toc138428745"/>
      <w:bookmarkStart w:id="17" w:name="_Toc139173721"/>
      <w:bookmarkStart w:id="18" w:name="_Toc325046381"/>
      <w:r>
        <w:rPr>
          <w:rFonts w:ascii="宋体" w:hAnsi="宋体"/>
          <w:b/>
          <w:sz w:val="24"/>
          <w:szCs w:val="24"/>
        </w:rPr>
        <w:t>二、评标</w:t>
      </w:r>
      <w:bookmarkEnd w:id="14"/>
      <w:bookmarkEnd w:id="15"/>
      <w:bookmarkEnd w:id="16"/>
      <w:bookmarkEnd w:id="17"/>
      <w:bookmarkEnd w:id="18"/>
    </w:p>
    <w:p>
      <w:pPr>
        <w:adjustRightInd w:val="0"/>
        <w:snapToGrid w:val="0"/>
        <w:spacing w:line="360" w:lineRule="auto"/>
        <w:ind w:firstLine="542" w:firstLineChars="225"/>
        <w:rPr>
          <w:rFonts w:ascii="宋体" w:hAnsi="宋体"/>
          <w:b/>
          <w:sz w:val="24"/>
          <w:szCs w:val="24"/>
        </w:rPr>
      </w:pPr>
      <w:r>
        <w:rPr>
          <w:rFonts w:ascii="宋体" w:hAnsi="宋体"/>
          <w:b/>
          <w:sz w:val="24"/>
          <w:szCs w:val="24"/>
        </w:rPr>
        <w:t>1、评标原则</w:t>
      </w:r>
    </w:p>
    <w:p>
      <w:pPr>
        <w:adjustRightInd w:val="0"/>
        <w:snapToGrid w:val="0"/>
        <w:spacing w:line="360" w:lineRule="auto"/>
        <w:ind w:firstLine="540" w:firstLineChars="225"/>
        <w:rPr>
          <w:rFonts w:ascii="宋体" w:hAnsi="宋体"/>
          <w:sz w:val="24"/>
          <w:szCs w:val="24"/>
        </w:rPr>
      </w:pPr>
      <w:r>
        <w:rPr>
          <w:rFonts w:ascii="宋体" w:hAnsi="宋体"/>
          <w:sz w:val="24"/>
          <w:szCs w:val="24"/>
        </w:rPr>
        <w:t>依据《中华人民共和国招投标法》，遵循公正、公开、公平和科学合理的原则，对投标人按招标文件编制的文件进行认真、客观、全面的综合评价，</w:t>
      </w:r>
      <w:r>
        <w:rPr>
          <w:rFonts w:ascii="宋体" w:hAnsi="宋体"/>
          <w:kern w:val="0"/>
          <w:sz w:val="24"/>
          <w:szCs w:val="24"/>
        </w:rPr>
        <w:t>根据招标项目要求，综合考虑投标人的工作方案、</w:t>
      </w:r>
      <w:r>
        <w:rPr>
          <w:rFonts w:hint="eastAsia" w:ascii="宋体" w:hAnsi="宋体"/>
          <w:kern w:val="0"/>
          <w:sz w:val="24"/>
          <w:szCs w:val="24"/>
        </w:rPr>
        <w:t>专业</w:t>
      </w:r>
      <w:r>
        <w:rPr>
          <w:rFonts w:ascii="宋体" w:hAnsi="宋体"/>
          <w:kern w:val="0"/>
          <w:sz w:val="24"/>
          <w:szCs w:val="24"/>
        </w:rPr>
        <w:t>人员配备、相关工作经验、职业道德记录和质量控制水平、商务响应程度、报价等方面，合理确定评审内容、设定评审标准、设计各项评审内容分值占总分值的权重。</w:t>
      </w:r>
    </w:p>
    <w:p>
      <w:pPr>
        <w:adjustRightInd w:val="0"/>
        <w:snapToGrid w:val="0"/>
        <w:spacing w:line="360" w:lineRule="auto"/>
        <w:ind w:firstLine="542" w:firstLineChars="225"/>
        <w:rPr>
          <w:rFonts w:ascii="宋体" w:hAnsi="宋体"/>
          <w:b/>
          <w:sz w:val="24"/>
          <w:szCs w:val="24"/>
        </w:rPr>
      </w:pPr>
      <w:r>
        <w:rPr>
          <w:rFonts w:ascii="宋体" w:hAnsi="宋体"/>
          <w:b/>
          <w:sz w:val="24"/>
          <w:szCs w:val="24"/>
        </w:rPr>
        <w:t>2、评标委员会</w:t>
      </w:r>
    </w:p>
    <w:p>
      <w:pPr>
        <w:adjustRightInd w:val="0"/>
        <w:snapToGrid w:val="0"/>
        <w:spacing w:line="360" w:lineRule="auto"/>
        <w:ind w:firstLine="540" w:firstLineChars="225"/>
        <w:rPr>
          <w:rFonts w:ascii="宋体" w:hAnsi="宋体"/>
          <w:sz w:val="24"/>
          <w:szCs w:val="24"/>
        </w:rPr>
      </w:pPr>
      <w:r>
        <w:rPr>
          <w:rFonts w:ascii="宋体" w:hAnsi="宋体"/>
          <w:sz w:val="24"/>
          <w:szCs w:val="24"/>
        </w:rPr>
        <w:t>评标委员会由</w:t>
      </w:r>
      <w:r>
        <w:rPr>
          <w:rFonts w:hint="eastAsia" w:ascii="宋体" w:hAnsi="宋体"/>
          <w:sz w:val="24"/>
          <w:szCs w:val="24"/>
        </w:rPr>
        <w:t>评标委员5人组成：其中招标人代表1人,专家4人，评标专家确定方式:开标前现场随机抽取。评标委员会</w:t>
      </w:r>
      <w:r>
        <w:rPr>
          <w:rFonts w:ascii="宋体" w:hAnsi="宋体"/>
          <w:sz w:val="24"/>
          <w:szCs w:val="24"/>
        </w:rPr>
        <w:t>负责评标活动，向招标人推荐中标候选人。</w:t>
      </w:r>
    </w:p>
    <w:p>
      <w:pPr>
        <w:adjustRightInd w:val="0"/>
        <w:snapToGrid w:val="0"/>
        <w:spacing w:line="360" w:lineRule="auto"/>
        <w:ind w:firstLine="542" w:firstLineChars="225"/>
        <w:rPr>
          <w:rFonts w:ascii="宋体" w:hAnsi="宋体"/>
          <w:b/>
          <w:sz w:val="24"/>
          <w:szCs w:val="24"/>
        </w:rPr>
      </w:pPr>
      <w:r>
        <w:rPr>
          <w:rFonts w:ascii="宋体" w:hAnsi="宋体"/>
          <w:b/>
          <w:sz w:val="24"/>
          <w:szCs w:val="24"/>
        </w:rPr>
        <w:t>3、评标准备</w:t>
      </w:r>
    </w:p>
    <w:p>
      <w:pPr>
        <w:adjustRightInd w:val="0"/>
        <w:snapToGrid w:val="0"/>
        <w:spacing w:line="360" w:lineRule="auto"/>
        <w:ind w:firstLine="540" w:firstLineChars="225"/>
        <w:rPr>
          <w:rFonts w:ascii="宋体" w:hAnsi="宋体"/>
          <w:sz w:val="24"/>
          <w:szCs w:val="24"/>
        </w:rPr>
      </w:pPr>
      <w:r>
        <w:rPr>
          <w:rFonts w:ascii="宋体" w:hAnsi="宋体"/>
          <w:sz w:val="24"/>
          <w:szCs w:val="24"/>
        </w:rPr>
        <w:t>评标委员会成员在评标前要认真领会和熟悉招标文件，掌握评标程序和评审办法。</w:t>
      </w:r>
    </w:p>
    <w:p>
      <w:pPr>
        <w:adjustRightInd w:val="0"/>
        <w:snapToGrid w:val="0"/>
        <w:spacing w:line="360" w:lineRule="auto"/>
        <w:ind w:firstLine="542" w:firstLineChars="225"/>
        <w:rPr>
          <w:rFonts w:ascii="宋体" w:hAnsi="宋体"/>
          <w:b/>
          <w:sz w:val="24"/>
          <w:szCs w:val="24"/>
        </w:rPr>
      </w:pPr>
      <w:r>
        <w:rPr>
          <w:rFonts w:ascii="宋体" w:hAnsi="宋体"/>
          <w:b/>
          <w:sz w:val="24"/>
          <w:szCs w:val="24"/>
        </w:rPr>
        <w:t>4、初步评审</w:t>
      </w:r>
    </w:p>
    <w:p>
      <w:pPr>
        <w:adjustRightInd w:val="0"/>
        <w:snapToGrid w:val="0"/>
        <w:spacing w:line="360" w:lineRule="auto"/>
        <w:ind w:firstLine="540" w:firstLineChars="225"/>
        <w:rPr>
          <w:rFonts w:ascii="宋体" w:hAnsi="宋体"/>
          <w:sz w:val="24"/>
          <w:szCs w:val="24"/>
        </w:rPr>
      </w:pPr>
      <w:r>
        <w:rPr>
          <w:rFonts w:ascii="宋体" w:hAnsi="宋体"/>
          <w:sz w:val="24"/>
          <w:szCs w:val="24"/>
        </w:rPr>
        <w:t>4.1投标文件的澄清</w:t>
      </w:r>
    </w:p>
    <w:p>
      <w:pPr>
        <w:pStyle w:val="17"/>
        <w:adjustRightInd w:val="0"/>
        <w:snapToGrid w:val="0"/>
        <w:spacing w:after="0" w:line="360" w:lineRule="auto"/>
        <w:ind w:left="0" w:leftChars="0" w:firstLine="480" w:firstLineChars="200"/>
        <w:rPr>
          <w:rFonts w:ascii="宋体" w:hAnsi="宋体"/>
          <w:sz w:val="24"/>
          <w:szCs w:val="24"/>
        </w:rPr>
      </w:pPr>
      <w:r>
        <w:rPr>
          <w:rFonts w:ascii="宋体" w:hAnsi="宋体"/>
          <w:sz w:val="24"/>
          <w:szCs w:val="24"/>
        </w:rPr>
        <w:t>为了有助于对投标文件的审查、评价和比较，评标委员会可以要求投标人对其投标文件中含义不明确、对同类问题表述不一致或者有明显文字和算术计算错误的内容作必要的澄清、说明或者补充。</w:t>
      </w:r>
      <w:r>
        <w:rPr>
          <w:rFonts w:hint="eastAsia" w:ascii="宋体" w:hAnsi="宋体"/>
          <w:sz w:val="24"/>
          <w:szCs w:val="24"/>
        </w:rPr>
        <w:t>投标人应及时给予</w:t>
      </w:r>
      <w:r>
        <w:rPr>
          <w:rFonts w:ascii="宋体" w:hAnsi="宋体"/>
          <w:sz w:val="24"/>
          <w:szCs w:val="24"/>
        </w:rPr>
        <w:t>澄清、说明或者补充，不得超出投标文件的范围或者改变原投标文件中实质性内容。</w:t>
      </w:r>
    </w:p>
    <w:p>
      <w:pPr>
        <w:adjustRightInd w:val="0"/>
        <w:snapToGrid w:val="0"/>
        <w:spacing w:line="360" w:lineRule="auto"/>
        <w:ind w:firstLine="540" w:firstLineChars="225"/>
        <w:rPr>
          <w:rFonts w:ascii="宋体" w:hAnsi="宋体"/>
          <w:sz w:val="24"/>
          <w:szCs w:val="24"/>
        </w:rPr>
      </w:pPr>
      <w:r>
        <w:rPr>
          <w:rFonts w:ascii="宋体" w:hAnsi="宋体"/>
          <w:sz w:val="24"/>
          <w:szCs w:val="24"/>
        </w:rPr>
        <w:t>4.2在评标过程中，评标委员会发现投标人以他人名义投标或者串通投标或者以行贿手段谋取投标或者以其他弄虚作假方式投标的，该投标人的投标将作废标处理。</w:t>
      </w:r>
    </w:p>
    <w:p>
      <w:pPr>
        <w:adjustRightInd w:val="0"/>
        <w:snapToGrid w:val="0"/>
        <w:spacing w:line="360" w:lineRule="auto"/>
        <w:ind w:firstLine="540" w:firstLineChars="225"/>
        <w:rPr>
          <w:rFonts w:ascii="宋体" w:hAnsi="宋体"/>
          <w:sz w:val="24"/>
          <w:szCs w:val="24"/>
        </w:rPr>
      </w:pPr>
      <w:r>
        <w:rPr>
          <w:rFonts w:ascii="宋体" w:hAnsi="宋体"/>
          <w:sz w:val="24"/>
          <w:szCs w:val="24"/>
        </w:rPr>
        <w:t>4.3投标文件项目组负责人必须满足招标文件提出的资格要求，否则不具备中标资格。</w:t>
      </w:r>
    </w:p>
    <w:p>
      <w:pPr>
        <w:adjustRightInd w:val="0"/>
        <w:snapToGrid w:val="0"/>
        <w:spacing w:line="360" w:lineRule="auto"/>
        <w:ind w:firstLine="540" w:firstLineChars="225"/>
        <w:rPr>
          <w:rFonts w:ascii="宋体" w:hAnsi="宋体"/>
          <w:sz w:val="24"/>
          <w:szCs w:val="24"/>
        </w:rPr>
      </w:pPr>
      <w:r>
        <w:rPr>
          <w:rFonts w:ascii="宋体" w:hAnsi="宋体"/>
          <w:sz w:val="24"/>
          <w:szCs w:val="24"/>
        </w:rPr>
        <w:t>4.4在评标过程中，若发现投标人的报价低于其成本的，评标委员会可以认为该投标人有过度竞争嫌疑，可以将其投标文件作无效投标处理。</w:t>
      </w:r>
    </w:p>
    <w:p>
      <w:pPr>
        <w:adjustRightInd w:val="0"/>
        <w:snapToGrid w:val="0"/>
        <w:spacing w:line="360" w:lineRule="auto"/>
        <w:ind w:firstLine="540" w:firstLineChars="225"/>
        <w:rPr>
          <w:rFonts w:ascii="宋体" w:hAnsi="宋体"/>
          <w:sz w:val="24"/>
          <w:szCs w:val="24"/>
        </w:rPr>
      </w:pPr>
      <w:r>
        <w:rPr>
          <w:rFonts w:ascii="宋体" w:hAnsi="宋体"/>
          <w:sz w:val="24"/>
          <w:szCs w:val="24"/>
        </w:rPr>
        <w:t>4.5评标委员会负责审查每一份投标文件是否对招标文件提出的所有实质性要求和条件作出响应。即首先对所有的投标文件进行审查，以确定其是否为实质性响应的投标。招标人将只对实质性响应的投标文件作进一步的评标。</w:t>
      </w:r>
    </w:p>
    <w:p>
      <w:pPr>
        <w:adjustRightInd w:val="0"/>
        <w:snapToGrid w:val="0"/>
        <w:spacing w:line="360" w:lineRule="auto"/>
        <w:ind w:firstLine="540" w:firstLineChars="225"/>
        <w:rPr>
          <w:rFonts w:ascii="宋体" w:hAnsi="宋体"/>
          <w:sz w:val="24"/>
          <w:szCs w:val="24"/>
        </w:rPr>
      </w:pPr>
      <w:r>
        <w:rPr>
          <w:rFonts w:ascii="宋体" w:hAnsi="宋体"/>
          <w:sz w:val="24"/>
          <w:szCs w:val="24"/>
        </w:rPr>
        <w:t>4.6评标委员会根据规定否决不合格投标或者界定为废标后，因有效投标不足</w:t>
      </w:r>
      <w:r>
        <w:rPr>
          <w:rFonts w:hint="eastAsia" w:ascii="宋体" w:hAnsi="宋体"/>
          <w:sz w:val="24"/>
          <w:szCs w:val="24"/>
        </w:rPr>
        <w:t>3</w:t>
      </w:r>
      <w:r>
        <w:rPr>
          <w:rFonts w:ascii="宋体" w:hAnsi="宋体"/>
          <w:sz w:val="24"/>
          <w:szCs w:val="24"/>
        </w:rPr>
        <w:t>个使得投标明显缺乏竞争的，招标人有权否决全部投标。所有投标被否决的，招标人依法重新招标。</w:t>
      </w:r>
    </w:p>
    <w:p>
      <w:pPr>
        <w:adjustRightInd w:val="0"/>
        <w:snapToGrid w:val="0"/>
        <w:spacing w:line="360" w:lineRule="auto"/>
        <w:ind w:firstLine="542" w:firstLineChars="225"/>
        <w:rPr>
          <w:rFonts w:ascii="宋体" w:hAnsi="宋体"/>
          <w:b/>
          <w:sz w:val="24"/>
          <w:szCs w:val="24"/>
        </w:rPr>
      </w:pPr>
      <w:r>
        <w:rPr>
          <w:rFonts w:ascii="宋体" w:hAnsi="宋体"/>
          <w:b/>
          <w:sz w:val="24"/>
          <w:szCs w:val="24"/>
        </w:rPr>
        <w:t>5、评标细则（总分100）</w:t>
      </w:r>
    </w:p>
    <w:p>
      <w:pPr>
        <w:adjustRightInd w:val="0"/>
        <w:snapToGrid w:val="0"/>
        <w:spacing w:line="360" w:lineRule="auto"/>
        <w:ind w:firstLine="540" w:firstLineChars="225"/>
        <w:rPr>
          <w:rFonts w:ascii="宋体" w:hAnsi="宋体"/>
          <w:sz w:val="24"/>
          <w:szCs w:val="24"/>
        </w:rPr>
      </w:pPr>
      <w:r>
        <w:rPr>
          <w:rFonts w:ascii="宋体" w:hAnsi="宋体"/>
          <w:sz w:val="24"/>
          <w:szCs w:val="24"/>
        </w:rPr>
        <w:t>对初步评审合格的投标文件进行综合评分,评标委员会应当根据招标文件确定的评标标准和办法，对其作进一步的评审和比较。（详见附表评分标准）</w:t>
      </w:r>
    </w:p>
    <w:p>
      <w:pPr>
        <w:adjustRightInd w:val="0"/>
        <w:snapToGrid w:val="0"/>
        <w:spacing w:line="360" w:lineRule="auto"/>
        <w:ind w:firstLine="540" w:firstLineChars="224"/>
        <w:outlineLvl w:val="1"/>
        <w:rPr>
          <w:rFonts w:ascii="宋体" w:hAnsi="宋体"/>
          <w:b/>
          <w:sz w:val="24"/>
          <w:szCs w:val="24"/>
        </w:rPr>
      </w:pPr>
      <w:bookmarkStart w:id="19" w:name="_Toc325046382"/>
      <w:r>
        <w:rPr>
          <w:rFonts w:ascii="宋体" w:hAnsi="宋体"/>
          <w:b/>
          <w:sz w:val="24"/>
          <w:szCs w:val="24"/>
        </w:rPr>
        <w:t>三、定标</w:t>
      </w:r>
      <w:bookmarkEnd w:id="19"/>
    </w:p>
    <w:p>
      <w:pPr>
        <w:adjustRightInd w:val="0"/>
        <w:snapToGrid w:val="0"/>
        <w:spacing w:line="360" w:lineRule="auto"/>
        <w:ind w:firstLine="540" w:firstLineChars="225"/>
        <w:rPr>
          <w:rFonts w:ascii="宋体" w:hAnsi="宋体"/>
          <w:sz w:val="24"/>
          <w:szCs w:val="24"/>
        </w:rPr>
      </w:pPr>
      <w:r>
        <w:rPr>
          <w:rFonts w:ascii="宋体" w:hAnsi="宋体"/>
          <w:sz w:val="24"/>
          <w:szCs w:val="24"/>
        </w:rPr>
        <w:t>1、本招标采用综合评分法进行评标，</w:t>
      </w:r>
      <w:r>
        <w:rPr>
          <w:rFonts w:hint="eastAsia" w:ascii="宋体" w:hAnsi="宋体"/>
          <w:sz w:val="24"/>
          <w:szCs w:val="24"/>
        </w:rPr>
        <w:t>选择中标人。</w:t>
      </w:r>
    </w:p>
    <w:p>
      <w:pPr>
        <w:adjustRightInd w:val="0"/>
        <w:snapToGrid w:val="0"/>
        <w:spacing w:line="360" w:lineRule="auto"/>
        <w:ind w:firstLine="540" w:firstLineChars="225"/>
        <w:rPr>
          <w:rFonts w:ascii="宋体" w:hAnsi="宋体"/>
          <w:sz w:val="24"/>
          <w:szCs w:val="24"/>
        </w:rPr>
      </w:pPr>
      <w:r>
        <w:rPr>
          <w:rFonts w:ascii="宋体" w:hAnsi="宋体"/>
          <w:sz w:val="24"/>
          <w:szCs w:val="24"/>
        </w:rPr>
        <w:t>2、对不中标的投标人不做任何解释。</w:t>
      </w:r>
    </w:p>
    <w:p>
      <w:pPr>
        <w:adjustRightInd w:val="0"/>
        <w:snapToGrid w:val="0"/>
        <w:spacing w:line="360" w:lineRule="auto"/>
        <w:ind w:firstLine="540" w:firstLineChars="225"/>
        <w:rPr>
          <w:rFonts w:ascii="宋体" w:hAnsi="宋体"/>
          <w:sz w:val="24"/>
          <w:szCs w:val="24"/>
        </w:rPr>
      </w:pPr>
      <w:r>
        <w:rPr>
          <w:rFonts w:ascii="宋体" w:hAnsi="宋体"/>
          <w:sz w:val="24"/>
          <w:szCs w:val="24"/>
        </w:rPr>
        <w:t>3、确定中标人</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评标委员会对各有效投标人按其综合得分由高到低进行排序，并按此排序推荐1-3名中标候选人，若综合得分相同，则按照其投标报价由低到高进行排序；若报价也相同，则由评标委员会投票确定其排序。</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 xml:space="preserve"> 招标人从评标委员会推荐的中标候选人名单中确定方案优、价格低的中标候选人为中标人。</w:t>
      </w:r>
    </w:p>
    <w:p>
      <w:pPr>
        <w:widowControl/>
        <w:adjustRightInd w:val="0"/>
        <w:snapToGrid w:val="0"/>
        <w:spacing w:line="360" w:lineRule="auto"/>
        <w:ind w:firstLine="540" w:firstLineChars="225"/>
        <w:jc w:val="center"/>
        <w:rPr>
          <w:rFonts w:ascii="宋体" w:hAnsi="宋体"/>
          <w:b/>
          <w:bCs/>
          <w:sz w:val="36"/>
          <w:szCs w:val="36"/>
        </w:rPr>
      </w:pPr>
      <w:r>
        <w:rPr>
          <w:rFonts w:ascii="宋体" w:hAnsi="宋体"/>
          <w:sz w:val="24"/>
          <w:szCs w:val="24"/>
        </w:rPr>
        <w:br w:type="page"/>
      </w:r>
      <w:bookmarkStart w:id="20" w:name="_Toc93427298"/>
      <w:bookmarkStart w:id="21" w:name="_Toc138428746"/>
      <w:bookmarkStart w:id="22" w:name="_Toc139173722"/>
      <w:bookmarkStart w:id="23" w:name="_Toc135297842"/>
      <w:r>
        <w:rPr>
          <w:rFonts w:ascii="宋体" w:hAnsi="宋体"/>
          <w:b/>
          <w:sz w:val="36"/>
          <w:szCs w:val="36"/>
        </w:rPr>
        <w:t>评分标</w:t>
      </w:r>
      <w:r>
        <w:rPr>
          <w:rFonts w:hint="eastAsia" w:ascii="宋体" w:hAnsi="宋体"/>
          <w:b/>
          <w:sz w:val="36"/>
          <w:szCs w:val="36"/>
        </w:rPr>
        <w:t>准</w:t>
      </w:r>
    </w:p>
    <w:tbl>
      <w:tblPr>
        <w:tblStyle w:val="24"/>
        <w:tblW w:w="10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848"/>
        <w:gridCol w:w="6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3856" w:type="dxa"/>
            <w:gridSpan w:val="2"/>
            <w:vAlign w:val="center"/>
          </w:tcPr>
          <w:p>
            <w:pPr>
              <w:ind w:firstLine="361" w:firstLineChars="150"/>
              <w:jc w:val="center"/>
              <w:rPr>
                <w:rFonts w:ascii="宋体" w:hAnsi="宋体"/>
                <w:b/>
                <w:sz w:val="24"/>
              </w:rPr>
            </w:pPr>
            <w:r>
              <w:rPr>
                <w:rFonts w:hint="eastAsia" w:ascii="宋体" w:hAnsi="宋体"/>
                <w:b/>
                <w:sz w:val="24"/>
              </w:rPr>
              <w:t>评分因素</w:t>
            </w:r>
          </w:p>
        </w:tc>
        <w:tc>
          <w:tcPr>
            <w:tcW w:w="6523" w:type="dxa"/>
            <w:vAlign w:val="center"/>
          </w:tcPr>
          <w:p>
            <w:pPr>
              <w:jc w:val="center"/>
              <w:rPr>
                <w:rFonts w:ascii="宋体" w:hAnsi="宋体"/>
                <w:b/>
                <w:sz w:val="24"/>
              </w:rPr>
            </w:pPr>
            <w:r>
              <w:rPr>
                <w:rFonts w:hint="eastAsia" w:ascii="宋体" w:hAnsi="宋体"/>
                <w:b/>
                <w:sz w:val="24"/>
              </w:rPr>
              <w:t>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48" w:hRule="atLeast"/>
        </w:trPr>
        <w:tc>
          <w:tcPr>
            <w:tcW w:w="1008" w:type="dxa"/>
            <w:vAlign w:val="center"/>
          </w:tcPr>
          <w:p>
            <w:pPr>
              <w:spacing w:line="441" w:lineRule="exact"/>
              <w:jc w:val="center"/>
              <w:rPr>
                <w:rFonts w:ascii="宋体" w:hAnsi="宋体"/>
                <w:sz w:val="24"/>
              </w:rPr>
            </w:pPr>
            <w:r>
              <w:rPr>
                <w:rFonts w:hint="eastAsia" w:ascii="宋体" w:hAnsi="宋体"/>
                <w:sz w:val="24"/>
              </w:rPr>
              <w:t>投标</w:t>
            </w:r>
          </w:p>
          <w:p>
            <w:pPr>
              <w:spacing w:line="441" w:lineRule="exact"/>
              <w:jc w:val="center"/>
              <w:rPr>
                <w:rFonts w:ascii="宋体" w:hAnsi="宋体"/>
                <w:sz w:val="24"/>
              </w:rPr>
            </w:pPr>
            <w:r>
              <w:rPr>
                <w:rFonts w:hint="eastAsia" w:ascii="宋体" w:hAnsi="宋体"/>
                <w:sz w:val="24"/>
              </w:rPr>
              <w:t>报价</w:t>
            </w:r>
          </w:p>
        </w:tc>
        <w:tc>
          <w:tcPr>
            <w:tcW w:w="2848" w:type="dxa"/>
            <w:vAlign w:val="center"/>
          </w:tcPr>
          <w:p>
            <w:pPr>
              <w:snapToGrid w:val="0"/>
              <w:spacing w:line="440" w:lineRule="atLeast"/>
              <w:rPr>
                <w:rFonts w:ascii="宋体" w:hAnsi="宋体"/>
                <w:sz w:val="24"/>
              </w:rPr>
            </w:pPr>
            <w:r>
              <w:rPr>
                <w:rFonts w:hint="eastAsia" w:ascii="宋体" w:hAnsi="宋体"/>
                <w:sz w:val="24"/>
              </w:rPr>
              <w:t>投标总报价（50分）</w:t>
            </w:r>
          </w:p>
        </w:tc>
        <w:tc>
          <w:tcPr>
            <w:tcW w:w="6523" w:type="dxa"/>
            <w:vAlign w:val="top"/>
          </w:tcPr>
          <w:p>
            <w:pPr>
              <w:snapToGrid w:val="0"/>
              <w:spacing w:line="440" w:lineRule="atLeast"/>
              <w:rPr>
                <w:rFonts w:ascii="宋体" w:hAnsi="宋体"/>
                <w:sz w:val="24"/>
              </w:rPr>
            </w:pPr>
            <w:r>
              <w:rPr>
                <w:rFonts w:hint="eastAsia" w:ascii="宋体" w:hAnsi="宋体"/>
                <w:sz w:val="24"/>
              </w:rPr>
              <w:t>以投标报价的最终价为依据，最低价为评标基准价，其价格分为满分（50分）。其他投标人的价格分统一按照下列公式计算：投标报价得分＝（评标基准价／投标报价)×50。</w:t>
            </w:r>
          </w:p>
          <w:p>
            <w:pPr>
              <w:snapToGrid w:val="0"/>
              <w:spacing w:line="440" w:lineRule="atLeast"/>
              <w:rPr>
                <w:rFonts w:ascii="宋体" w:hAnsi="宋体"/>
                <w:sz w:val="24"/>
              </w:rPr>
            </w:pPr>
            <w:r>
              <w:rPr>
                <w:rFonts w:hint="eastAsia" w:ascii="宋体" w:hAnsi="宋体"/>
                <w:sz w:val="24"/>
              </w:rPr>
              <w:t>报价要求低价合理，对于明显低于成本价，又没有合理说明原因，经评委确认属于恶意竞标的，本项得分判0分.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1008" w:type="dxa"/>
            <w:vMerge w:val="restart"/>
            <w:vAlign w:val="center"/>
          </w:tcPr>
          <w:p>
            <w:pPr>
              <w:snapToGrid w:val="0"/>
              <w:spacing w:line="440" w:lineRule="atLeast"/>
              <w:jc w:val="center"/>
              <w:rPr>
                <w:rFonts w:ascii="宋体" w:hAnsi="宋体"/>
                <w:sz w:val="24"/>
              </w:rPr>
            </w:pPr>
            <w:r>
              <w:rPr>
                <w:rFonts w:hint="eastAsia" w:ascii="宋体" w:hAnsi="宋体"/>
                <w:sz w:val="24"/>
              </w:rPr>
              <w:t>技术部分（30分）</w:t>
            </w:r>
          </w:p>
        </w:tc>
        <w:tc>
          <w:tcPr>
            <w:tcW w:w="2848" w:type="dxa"/>
            <w:vAlign w:val="top"/>
          </w:tcPr>
          <w:p>
            <w:pPr>
              <w:spacing w:line="360" w:lineRule="auto"/>
              <w:rPr>
                <w:rFonts w:ascii="宋体" w:hAnsi="宋体"/>
                <w:sz w:val="24"/>
              </w:rPr>
            </w:pPr>
            <w:r>
              <w:rPr>
                <w:rFonts w:hint="eastAsia" w:ascii="宋体" w:hAnsi="宋体"/>
                <w:sz w:val="24"/>
              </w:rPr>
              <w:t>技术方案及技术服务全过程工作目标（12分）</w:t>
            </w:r>
          </w:p>
        </w:tc>
        <w:tc>
          <w:tcPr>
            <w:tcW w:w="6523" w:type="dxa"/>
            <w:vAlign w:val="center"/>
          </w:tcPr>
          <w:p>
            <w:pPr>
              <w:snapToGrid w:val="0"/>
              <w:spacing w:line="440" w:lineRule="atLeast"/>
              <w:rPr>
                <w:rFonts w:ascii="宋体" w:hAnsi="宋体"/>
                <w:sz w:val="24"/>
              </w:rPr>
            </w:pPr>
            <w:r>
              <w:rPr>
                <w:rFonts w:hint="eastAsia" w:ascii="宋体" w:hAnsi="宋体"/>
                <w:sz w:val="24"/>
              </w:rPr>
              <w:t>技术方案严谨科学；服务工作指导思想明确，工作目标清晰，得0到12分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2" w:hRule="atLeast"/>
        </w:trPr>
        <w:tc>
          <w:tcPr>
            <w:tcW w:w="1008" w:type="dxa"/>
            <w:vMerge w:val="continue"/>
            <w:vAlign w:val="center"/>
          </w:tcPr>
          <w:p>
            <w:pPr>
              <w:spacing w:line="441" w:lineRule="exact"/>
              <w:jc w:val="center"/>
              <w:rPr>
                <w:rFonts w:ascii="宋体" w:hAnsi="宋体"/>
                <w:sz w:val="24"/>
              </w:rPr>
            </w:pPr>
          </w:p>
        </w:tc>
        <w:tc>
          <w:tcPr>
            <w:tcW w:w="2848" w:type="dxa"/>
            <w:vAlign w:val="top"/>
          </w:tcPr>
          <w:p>
            <w:pPr>
              <w:snapToGrid w:val="0"/>
              <w:spacing w:line="440" w:lineRule="atLeast"/>
              <w:rPr>
                <w:rFonts w:ascii="宋体" w:hAnsi="宋体"/>
                <w:sz w:val="24"/>
              </w:rPr>
            </w:pPr>
            <w:r>
              <w:rPr>
                <w:rFonts w:hint="eastAsia" w:ascii="宋体" w:hAnsi="宋体"/>
                <w:sz w:val="24"/>
              </w:rPr>
              <w:t>施工阶段技术服务专业人员的岗位职责和职业守则（3分）</w:t>
            </w:r>
          </w:p>
        </w:tc>
        <w:tc>
          <w:tcPr>
            <w:tcW w:w="6523" w:type="dxa"/>
            <w:vAlign w:val="center"/>
          </w:tcPr>
          <w:p>
            <w:pPr>
              <w:snapToGrid w:val="0"/>
              <w:spacing w:line="440" w:lineRule="atLeast"/>
              <w:rPr>
                <w:rFonts w:ascii="宋体" w:hAnsi="宋体"/>
                <w:sz w:val="24"/>
              </w:rPr>
            </w:pPr>
            <w:r>
              <w:rPr>
                <w:rFonts w:hint="eastAsia" w:ascii="宋体" w:hAnsi="宋体"/>
                <w:sz w:val="24"/>
              </w:rPr>
              <w:t>根据项目配置完整且合理，分工明确，项目技术服务人员岗位职责及制度健全，专业人员配置合理，得0-3分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trPr>
        <w:tc>
          <w:tcPr>
            <w:tcW w:w="1008" w:type="dxa"/>
            <w:vMerge w:val="continue"/>
            <w:vAlign w:val="center"/>
          </w:tcPr>
          <w:p>
            <w:pPr>
              <w:spacing w:line="441" w:lineRule="exact"/>
              <w:jc w:val="center"/>
              <w:rPr>
                <w:rFonts w:ascii="宋体" w:hAnsi="宋体"/>
                <w:sz w:val="24"/>
              </w:rPr>
            </w:pPr>
          </w:p>
        </w:tc>
        <w:tc>
          <w:tcPr>
            <w:tcW w:w="2848" w:type="dxa"/>
            <w:vAlign w:val="top"/>
          </w:tcPr>
          <w:p>
            <w:pPr>
              <w:snapToGrid w:val="0"/>
              <w:spacing w:line="440" w:lineRule="atLeast"/>
              <w:rPr>
                <w:rFonts w:ascii="宋体" w:hAnsi="宋体"/>
                <w:sz w:val="24"/>
              </w:rPr>
            </w:pPr>
            <w:r>
              <w:rPr>
                <w:rFonts w:hint="eastAsia" w:ascii="宋体" w:hAnsi="宋体"/>
                <w:sz w:val="24"/>
              </w:rPr>
              <w:t>施工阶段技术服务全过程控制措施（含对本工程技术服务的重难点分析）（10分）</w:t>
            </w:r>
          </w:p>
        </w:tc>
        <w:tc>
          <w:tcPr>
            <w:tcW w:w="6523" w:type="dxa"/>
            <w:vAlign w:val="center"/>
          </w:tcPr>
          <w:p>
            <w:pPr>
              <w:snapToGrid w:val="0"/>
              <w:spacing w:line="440" w:lineRule="atLeast"/>
              <w:rPr>
                <w:rFonts w:ascii="宋体" w:hAnsi="宋体"/>
                <w:sz w:val="24"/>
              </w:rPr>
            </w:pPr>
            <w:r>
              <w:rPr>
                <w:rFonts w:hint="eastAsia" w:ascii="宋体" w:hAnsi="宋体"/>
                <w:sz w:val="24"/>
              </w:rPr>
              <w:t>针对本工程技术服务难点提出可行的措施，同时针对本工程分析重难点及合理化建议，提出问题的解决方法，根据其合理性及可行性得0到10分。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5" w:hRule="atLeast"/>
        </w:trPr>
        <w:tc>
          <w:tcPr>
            <w:tcW w:w="1008" w:type="dxa"/>
            <w:vMerge w:val="continue"/>
            <w:vAlign w:val="center"/>
          </w:tcPr>
          <w:p>
            <w:pPr>
              <w:spacing w:line="441" w:lineRule="exact"/>
              <w:jc w:val="center"/>
              <w:rPr>
                <w:rFonts w:ascii="宋体" w:hAnsi="宋体"/>
                <w:sz w:val="24"/>
              </w:rPr>
            </w:pPr>
          </w:p>
        </w:tc>
        <w:tc>
          <w:tcPr>
            <w:tcW w:w="2848" w:type="dxa"/>
            <w:tcBorders>
              <w:bottom w:val="single" w:color="auto" w:sz="4" w:space="0"/>
            </w:tcBorders>
            <w:vAlign w:val="top"/>
          </w:tcPr>
          <w:p>
            <w:pPr>
              <w:snapToGrid w:val="0"/>
              <w:spacing w:line="440" w:lineRule="atLeast"/>
              <w:rPr>
                <w:rFonts w:ascii="宋体" w:hAnsi="宋体"/>
                <w:sz w:val="24"/>
              </w:rPr>
            </w:pPr>
            <w:r>
              <w:rPr>
                <w:rFonts w:hint="eastAsia" w:ascii="宋体" w:hAnsi="宋体"/>
                <w:sz w:val="24"/>
              </w:rPr>
              <w:t>施工阶段技术服务全过程进度控制的措施（3分）</w:t>
            </w:r>
          </w:p>
        </w:tc>
        <w:tc>
          <w:tcPr>
            <w:tcW w:w="6523" w:type="dxa"/>
            <w:tcBorders>
              <w:bottom w:val="single" w:color="auto" w:sz="4" w:space="0"/>
            </w:tcBorders>
            <w:vAlign w:val="center"/>
          </w:tcPr>
          <w:p>
            <w:pPr>
              <w:snapToGrid w:val="0"/>
              <w:spacing w:line="440" w:lineRule="atLeast"/>
              <w:rPr>
                <w:rFonts w:ascii="宋体" w:hAnsi="宋体"/>
                <w:sz w:val="24"/>
              </w:rPr>
            </w:pPr>
            <w:r>
              <w:rPr>
                <w:rFonts w:hint="eastAsia" w:ascii="宋体" w:hAnsi="宋体"/>
                <w:sz w:val="24"/>
              </w:rPr>
              <w:t>进度管理措施合理 得0到3分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9" w:hRule="atLeast"/>
        </w:trPr>
        <w:tc>
          <w:tcPr>
            <w:tcW w:w="1008" w:type="dxa"/>
            <w:vMerge w:val="continue"/>
            <w:vAlign w:val="center"/>
          </w:tcPr>
          <w:p>
            <w:pPr>
              <w:snapToGrid w:val="0"/>
              <w:spacing w:line="440" w:lineRule="atLeast"/>
              <w:jc w:val="center"/>
              <w:rPr>
                <w:rFonts w:ascii="宋体" w:hAnsi="宋体"/>
                <w:sz w:val="24"/>
              </w:rPr>
            </w:pPr>
          </w:p>
        </w:tc>
        <w:tc>
          <w:tcPr>
            <w:tcW w:w="2848" w:type="dxa"/>
            <w:vAlign w:val="top"/>
          </w:tcPr>
          <w:p>
            <w:pPr>
              <w:snapToGrid w:val="0"/>
              <w:spacing w:line="440" w:lineRule="atLeast"/>
              <w:rPr>
                <w:rFonts w:ascii="宋体" w:hAnsi="宋体"/>
                <w:sz w:val="24"/>
              </w:rPr>
            </w:pPr>
            <w:r>
              <w:rPr>
                <w:rFonts w:hint="eastAsia" w:ascii="宋体" w:hAnsi="宋体"/>
                <w:sz w:val="24"/>
              </w:rPr>
              <w:t>现场组织协调控制措施（2分）</w:t>
            </w:r>
          </w:p>
        </w:tc>
        <w:tc>
          <w:tcPr>
            <w:tcW w:w="6523" w:type="dxa"/>
            <w:vMerge w:val="restart"/>
            <w:vAlign w:val="center"/>
          </w:tcPr>
          <w:p>
            <w:pPr>
              <w:snapToGrid w:val="0"/>
              <w:spacing w:line="440" w:lineRule="atLeast"/>
              <w:rPr>
                <w:rFonts w:ascii="宋体" w:hAnsi="宋体"/>
                <w:sz w:val="24"/>
              </w:rPr>
            </w:pPr>
            <w:r>
              <w:rPr>
                <w:rFonts w:hint="eastAsia" w:ascii="宋体" w:hAnsi="宋体"/>
                <w:sz w:val="24"/>
              </w:rPr>
              <w:t>现场服务人员组织协调目标、方法措施科学合理 得0到2分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47" w:hRule="atLeast"/>
        </w:trPr>
        <w:tc>
          <w:tcPr>
            <w:tcW w:w="1008" w:type="dxa"/>
            <w:vMerge w:val="restart"/>
            <w:vAlign w:val="center"/>
          </w:tcPr>
          <w:p>
            <w:pPr>
              <w:snapToGrid w:val="0"/>
              <w:spacing w:line="440" w:lineRule="atLeast"/>
              <w:jc w:val="center"/>
              <w:rPr>
                <w:rFonts w:ascii="宋体" w:hAnsi="宋体"/>
                <w:sz w:val="24"/>
              </w:rPr>
            </w:pPr>
            <w:r>
              <w:rPr>
                <w:rFonts w:hint="eastAsia" w:ascii="宋体" w:hAnsi="宋体"/>
                <w:sz w:val="24"/>
              </w:rPr>
              <w:t>商务部分（20分）</w:t>
            </w:r>
          </w:p>
          <w:p>
            <w:pPr>
              <w:spacing w:line="441" w:lineRule="exact"/>
              <w:jc w:val="center"/>
              <w:rPr>
                <w:rFonts w:ascii="宋体" w:hAnsi="宋体"/>
                <w:sz w:val="24"/>
              </w:rPr>
            </w:pPr>
          </w:p>
        </w:tc>
        <w:tc>
          <w:tcPr>
            <w:tcW w:w="2848" w:type="dxa"/>
            <w:vAlign w:val="center"/>
          </w:tcPr>
          <w:p>
            <w:pPr>
              <w:ind w:firstLine="22" w:firstLineChars="9"/>
              <w:jc w:val="center"/>
              <w:rPr>
                <w:rFonts w:ascii="宋体" w:hAnsi="宋体"/>
                <w:sz w:val="24"/>
              </w:rPr>
            </w:pPr>
            <w:r>
              <w:rPr>
                <w:rFonts w:hint="eastAsia" w:ascii="宋体" w:hAnsi="宋体"/>
                <w:sz w:val="24"/>
              </w:rPr>
              <w:t>投标人类似业绩（15分）</w:t>
            </w:r>
          </w:p>
          <w:p>
            <w:pPr>
              <w:ind w:firstLine="22" w:firstLineChars="9"/>
              <w:jc w:val="center"/>
              <w:rPr>
                <w:rFonts w:ascii="宋体" w:hAnsi="宋体"/>
                <w:sz w:val="24"/>
              </w:rPr>
            </w:pPr>
          </w:p>
        </w:tc>
        <w:tc>
          <w:tcPr>
            <w:tcW w:w="6523" w:type="dxa"/>
            <w:vAlign w:val="center"/>
          </w:tcPr>
          <w:p>
            <w:pPr>
              <w:autoSpaceDE w:val="0"/>
              <w:autoSpaceDN w:val="0"/>
              <w:adjustRightInd w:val="0"/>
              <w:snapToGrid w:val="0"/>
              <w:spacing w:line="360" w:lineRule="auto"/>
              <w:ind w:firstLine="120" w:firstLineChars="50"/>
              <w:rPr>
                <w:rFonts w:ascii="宋体" w:hAnsi="宋体"/>
                <w:kern w:val="0"/>
                <w:sz w:val="24"/>
                <w:szCs w:val="24"/>
              </w:rPr>
            </w:pPr>
            <w:r>
              <w:rPr>
                <w:rFonts w:ascii="宋体" w:hAnsi="宋体"/>
                <w:kern w:val="0"/>
                <w:sz w:val="24"/>
                <w:szCs w:val="24"/>
              </w:rPr>
              <w:t>近</w:t>
            </w:r>
            <w:r>
              <w:rPr>
                <w:rFonts w:hint="eastAsia" w:ascii="宋体" w:hAnsi="宋体"/>
                <w:kern w:val="0"/>
                <w:sz w:val="24"/>
                <w:szCs w:val="24"/>
              </w:rPr>
              <w:t>六</w:t>
            </w:r>
            <w:r>
              <w:rPr>
                <w:rFonts w:ascii="宋体" w:hAnsi="宋体"/>
                <w:kern w:val="0"/>
                <w:sz w:val="24"/>
                <w:szCs w:val="24"/>
              </w:rPr>
              <w:t>年</w:t>
            </w:r>
            <w:r>
              <w:rPr>
                <w:rFonts w:hint="eastAsia" w:ascii="宋体" w:hAnsi="宋体"/>
                <w:kern w:val="0"/>
                <w:sz w:val="24"/>
                <w:szCs w:val="24"/>
              </w:rPr>
              <w:t>（</w:t>
            </w:r>
            <w:r>
              <w:rPr>
                <w:rFonts w:hint="eastAsia" w:ascii="宋体" w:hAnsi="宋体"/>
                <w:b/>
                <w:sz w:val="24"/>
              </w:rPr>
              <w:t>2009年1月1日至今</w:t>
            </w:r>
            <w:r>
              <w:rPr>
                <w:rFonts w:hint="eastAsia" w:ascii="宋体" w:hAnsi="宋体"/>
                <w:kern w:val="0"/>
                <w:sz w:val="24"/>
                <w:szCs w:val="24"/>
              </w:rPr>
              <w:t>）</w:t>
            </w:r>
            <w:r>
              <w:rPr>
                <w:rFonts w:ascii="宋体" w:hAnsi="宋体"/>
                <w:kern w:val="0"/>
                <w:sz w:val="24"/>
                <w:szCs w:val="24"/>
              </w:rPr>
              <w:t>类似</w:t>
            </w:r>
            <w:r>
              <w:rPr>
                <w:rFonts w:hint="eastAsia" w:ascii="宋体" w:hAnsi="宋体"/>
                <w:kern w:val="0"/>
                <w:sz w:val="24"/>
                <w:szCs w:val="24"/>
              </w:rPr>
              <w:t>技术</w:t>
            </w:r>
            <w:r>
              <w:rPr>
                <w:rFonts w:ascii="宋体" w:hAnsi="宋体"/>
                <w:kern w:val="0"/>
                <w:sz w:val="24"/>
                <w:szCs w:val="24"/>
              </w:rPr>
              <w:t>服务经验</w:t>
            </w:r>
            <w:r>
              <w:rPr>
                <w:rFonts w:hint="eastAsia" w:ascii="宋体" w:hAnsi="宋体"/>
                <w:kern w:val="0"/>
                <w:sz w:val="24"/>
                <w:szCs w:val="24"/>
              </w:rPr>
              <w:t>：</w:t>
            </w:r>
            <w:r>
              <w:rPr>
                <w:rFonts w:ascii="宋体" w:hAnsi="宋体"/>
                <w:kern w:val="0"/>
                <w:sz w:val="24"/>
                <w:szCs w:val="24"/>
              </w:rPr>
              <w:t>参加</w:t>
            </w:r>
            <w:r>
              <w:rPr>
                <w:rFonts w:hint="eastAsia" w:ascii="宋体" w:hAnsi="宋体"/>
                <w:kern w:val="0"/>
                <w:sz w:val="24"/>
                <w:szCs w:val="24"/>
              </w:rPr>
              <w:t>类似进口高线精轧机组设备的拆除或安装工作业绩：</w:t>
            </w:r>
            <w:r>
              <w:rPr>
                <w:rFonts w:ascii="宋体" w:hAnsi="宋体"/>
                <w:kern w:val="0"/>
                <w:sz w:val="24"/>
                <w:szCs w:val="24"/>
              </w:rPr>
              <w:t>每一项得</w:t>
            </w:r>
            <w:r>
              <w:rPr>
                <w:rFonts w:hint="eastAsia" w:ascii="宋体" w:hAnsi="宋体"/>
                <w:kern w:val="0"/>
                <w:sz w:val="24"/>
                <w:szCs w:val="24"/>
              </w:rPr>
              <w:t>3</w:t>
            </w:r>
            <w:r>
              <w:rPr>
                <w:rFonts w:ascii="宋体" w:hAnsi="宋体"/>
                <w:kern w:val="0"/>
                <w:sz w:val="24"/>
                <w:szCs w:val="24"/>
              </w:rPr>
              <w:t>分，</w:t>
            </w:r>
            <w:r>
              <w:rPr>
                <w:rFonts w:hint="eastAsia" w:ascii="宋体" w:hAnsi="宋体"/>
                <w:kern w:val="0"/>
                <w:sz w:val="24"/>
                <w:szCs w:val="24"/>
              </w:rPr>
              <w:t>本项最多</w:t>
            </w:r>
            <w:r>
              <w:rPr>
                <w:rFonts w:ascii="宋体" w:hAnsi="宋体"/>
                <w:kern w:val="0"/>
                <w:sz w:val="24"/>
                <w:szCs w:val="24"/>
              </w:rPr>
              <w:t>得</w:t>
            </w:r>
            <w:r>
              <w:rPr>
                <w:rFonts w:hint="eastAsia" w:ascii="宋体" w:hAnsi="宋体"/>
                <w:kern w:val="0"/>
                <w:sz w:val="24"/>
                <w:szCs w:val="24"/>
              </w:rPr>
              <w:t>15</w:t>
            </w:r>
            <w:r>
              <w:rPr>
                <w:rFonts w:ascii="宋体" w:hAnsi="宋体"/>
                <w:kern w:val="0"/>
                <w:sz w:val="24"/>
                <w:szCs w:val="24"/>
              </w:rPr>
              <w:t>分</w:t>
            </w:r>
            <w:r>
              <w:rPr>
                <w:rFonts w:hint="eastAsia" w:ascii="宋体" w:hAnsi="宋体"/>
                <w:kern w:val="0"/>
                <w:sz w:val="24"/>
                <w:szCs w:val="24"/>
              </w:rPr>
              <w:t>。</w:t>
            </w:r>
          </w:p>
          <w:p>
            <w:pPr>
              <w:autoSpaceDE w:val="0"/>
              <w:autoSpaceDN w:val="0"/>
              <w:adjustRightInd w:val="0"/>
              <w:snapToGrid w:val="0"/>
              <w:spacing w:line="360" w:lineRule="auto"/>
              <w:rPr>
                <w:rFonts w:ascii="宋体" w:hAnsi="宋体"/>
                <w:kern w:val="0"/>
                <w:sz w:val="24"/>
                <w:szCs w:val="24"/>
              </w:rPr>
            </w:pPr>
            <w:r>
              <w:rPr>
                <w:rFonts w:hint="eastAsia" w:ascii="宋体" w:hAnsi="宋体"/>
                <w:kern w:val="0"/>
                <w:sz w:val="24"/>
                <w:szCs w:val="24"/>
              </w:rPr>
              <w:t>备注：必须提供合同原件备查。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0" w:hRule="atLeast"/>
        </w:trPr>
        <w:tc>
          <w:tcPr>
            <w:tcW w:w="1008" w:type="dxa"/>
            <w:vMerge w:val="continue"/>
            <w:vAlign w:val="center"/>
          </w:tcPr>
          <w:p>
            <w:pPr>
              <w:spacing w:line="441" w:lineRule="exact"/>
              <w:jc w:val="center"/>
              <w:rPr>
                <w:rFonts w:ascii="宋体" w:hAnsi="宋体"/>
                <w:sz w:val="24"/>
              </w:rPr>
            </w:pPr>
          </w:p>
        </w:tc>
        <w:tc>
          <w:tcPr>
            <w:tcW w:w="2848" w:type="dxa"/>
            <w:vAlign w:val="center"/>
          </w:tcPr>
          <w:p>
            <w:pPr>
              <w:ind w:firstLine="22" w:firstLineChars="9"/>
              <w:jc w:val="center"/>
              <w:rPr>
                <w:rFonts w:ascii="宋体" w:hAnsi="宋体"/>
                <w:sz w:val="24"/>
              </w:rPr>
            </w:pPr>
            <w:r>
              <w:rPr>
                <w:rFonts w:hint="eastAsia" w:ascii="宋体" w:hAnsi="宋体"/>
                <w:sz w:val="24"/>
              </w:rPr>
              <w:t>项目组专业人员配备评分（5分）</w:t>
            </w:r>
          </w:p>
        </w:tc>
        <w:tc>
          <w:tcPr>
            <w:tcW w:w="6523" w:type="dxa"/>
            <w:vAlign w:val="top"/>
          </w:tcPr>
          <w:p>
            <w:pPr>
              <w:adjustRightInd w:val="0"/>
              <w:snapToGrid w:val="0"/>
              <w:spacing w:line="420" w:lineRule="atLeast"/>
              <w:rPr>
                <w:rFonts w:ascii="宋体" w:hAnsi="宋体"/>
                <w:sz w:val="24"/>
              </w:rPr>
            </w:pPr>
            <w:r>
              <w:rPr>
                <w:rFonts w:hint="eastAsia" w:ascii="宋体" w:hAnsi="宋体"/>
                <w:sz w:val="24"/>
              </w:rPr>
              <w:t>投标人自行配备项目组专业人员，评标委员会根据人员配备的完整性、合理性以及人员的执业资格等打分，得0-5分</w:t>
            </w:r>
          </w:p>
        </w:tc>
      </w:tr>
    </w:tbl>
    <w:p>
      <w:pPr>
        <w:adjustRightInd w:val="0"/>
        <w:snapToGrid w:val="0"/>
        <w:spacing w:line="360" w:lineRule="auto"/>
        <w:ind w:left="420" w:leftChars="200" w:firstLine="120" w:firstLineChars="50"/>
        <w:jc w:val="center"/>
        <w:rPr>
          <w:rFonts w:ascii="宋体" w:hAnsi="宋体"/>
          <w:sz w:val="24"/>
          <w:szCs w:val="24"/>
        </w:rPr>
      </w:pPr>
    </w:p>
    <w:p>
      <w:pPr>
        <w:spacing w:line="360" w:lineRule="auto"/>
        <w:ind w:firstLine="2873" w:firstLineChars="795"/>
        <w:rPr>
          <w:rFonts w:ascii="宋体" w:hAnsi="宋体"/>
          <w:sz w:val="24"/>
          <w:szCs w:val="24"/>
        </w:rPr>
      </w:pPr>
      <w:bookmarkStart w:id="24" w:name="_Toc325046383"/>
      <w:r>
        <w:rPr>
          <w:rFonts w:ascii="宋体" w:hAnsi="宋体"/>
          <w:b/>
          <w:bCs/>
          <w:sz w:val="36"/>
          <w:szCs w:val="36"/>
        </w:rPr>
        <w:t>第</w:t>
      </w:r>
      <w:r>
        <w:rPr>
          <w:rFonts w:hint="eastAsia" w:ascii="宋体" w:hAnsi="宋体"/>
          <w:b/>
          <w:bCs/>
          <w:sz w:val="36"/>
          <w:szCs w:val="36"/>
        </w:rPr>
        <w:t>五章</w:t>
      </w:r>
      <w:r>
        <w:rPr>
          <w:rFonts w:ascii="宋体" w:hAnsi="宋体"/>
          <w:b/>
          <w:bCs/>
          <w:sz w:val="36"/>
          <w:szCs w:val="36"/>
        </w:rPr>
        <w:t xml:space="preserve">   授予合同</w:t>
      </w:r>
    </w:p>
    <w:p>
      <w:pPr>
        <w:adjustRightInd w:val="0"/>
        <w:snapToGrid w:val="0"/>
        <w:spacing w:line="360" w:lineRule="auto"/>
        <w:ind w:firstLine="540" w:firstLineChars="224"/>
        <w:outlineLvl w:val="1"/>
        <w:rPr>
          <w:rFonts w:ascii="宋体" w:hAnsi="宋体"/>
          <w:b/>
          <w:sz w:val="24"/>
          <w:szCs w:val="24"/>
        </w:rPr>
      </w:pPr>
      <w:bookmarkStart w:id="25" w:name="_Toc325046384"/>
    </w:p>
    <w:p>
      <w:pPr>
        <w:adjustRightInd w:val="0"/>
        <w:snapToGrid w:val="0"/>
        <w:spacing w:line="360" w:lineRule="auto"/>
        <w:ind w:firstLine="540" w:firstLineChars="224"/>
        <w:outlineLvl w:val="1"/>
        <w:rPr>
          <w:rFonts w:ascii="宋体" w:hAnsi="宋体"/>
          <w:b/>
          <w:sz w:val="24"/>
          <w:szCs w:val="24"/>
        </w:rPr>
      </w:pPr>
      <w:r>
        <w:rPr>
          <w:rFonts w:ascii="宋体" w:hAnsi="宋体"/>
          <w:b/>
          <w:sz w:val="24"/>
          <w:szCs w:val="24"/>
        </w:rPr>
        <w:t>一、中标通知</w:t>
      </w:r>
      <w:bookmarkEnd w:id="25"/>
    </w:p>
    <w:p>
      <w:pPr>
        <w:tabs>
          <w:tab w:val="left" w:pos="690"/>
        </w:tabs>
        <w:adjustRightInd w:val="0"/>
        <w:snapToGrid w:val="0"/>
        <w:spacing w:line="360" w:lineRule="auto"/>
        <w:ind w:firstLine="540" w:firstLineChars="225"/>
        <w:rPr>
          <w:rFonts w:ascii="宋体" w:hAnsi="宋体"/>
          <w:sz w:val="24"/>
          <w:szCs w:val="24"/>
        </w:rPr>
      </w:pPr>
      <w:r>
        <w:rPr>
          <w:rFonts w:ascii="宋体" w:hAnsi="宋体"/>
          <w:sz w:val="24"/>
          <w:szCs w:val="24"/>
        </w:rPr>
        <w:t>根据定标结果，招标人向中标人发出《中标通知书》。</w:t>
      </w:r>
    </w:p>
    <w:p>
      <w:pPr>
        <w:adjustRightInd w:val="0"/>
        <w:snapToGrid w:val="0"/>
        <w:spacing w:line="360" w:lineRule="auto"/>
        <w:ind w:firstLine="540" w:firstLineChars="225"/>
        <w:rPr>
          <w:rFonts w:ascii="宋体" w:hAnsi="宋体"/>
          <w:sz w:val="24"/>
          <w:szCs w:val="24"/>
        </w:rPr>
      </w:pPr>
      <w:bookmarkStart w:id="26" w:name="_Toc325046385"/>
      <w:r>
        <w:rPr>
          <w:rFonts w:hint="eastAsia" w:ascii="宋体" w:hAnsi="宋体"/>
          <w:sz w:val="24"/>
          <w:szCs w:val="24"/>
        </w:rPr>
        <w:t>1、发出中标通知书后，招标人无正当理由拒签合同的，招标人向中标人无息退还投标保证金；给中标人造成损失的，还应当赔偿损失，但本招标文件另有约定的除外。</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2、投标人一经投标，除经招标人书面确认的偏离外，即视为已认可招标人提供的其他合同条款及附件。未经招标人书面确认，中标人不得对合同条款及附件进行任何调整，否则，中标无效，投标保证金不予退还。</w:t>
      </w:r>
    </w:p>
    <w:p>
      <w:pPr>
        <w:adjustRightInd w:val="0"/>
        <w:snapToGrid w:val="0"/>
        <w:spacing w:line="360" w:lineRule="auto"/>
        <w:ind w:firstLine="540" w:firstLineChars="224"/>
        <w:outlineLvl w:val="1"/>
        <w:rPr>
          <w:rFonts w:ascii="宋体" w:hAnsi="宋体"/>
          <w:b/>
          <w:sz w:val="24"/>
          <w:szCs w:val="24"/>
        </w:rPr>
      </w:pPr>
      <w:r>
        <w:rPr>
          <w:rFonts w:ascii="宋体" w:hAnsi="宋体"/>
          <w:b/>
          <w:sz w:val="24"/>
          <w:szCs w:val="24"/>
        </w:rPr>
        <w:t>二、合同签订</w:t>
      </w:r>
      <w:bookmarkEnd w:id="26"/>
    </w:p>
    <w:p>
      <w:pPr>
        <w:tabs>
          <w:tab w:val="left" w:pos="690"/>
        </w:tabs>
        <w:adjustRightInd w:val="0"/>
        <w:snapToGrid w:val="0"/>
        <w:spacing w:line="360" w:lineRule="auto"/>
        <w:ind w:firstLine="540" w:firstLineChars="225"/>
        <w:rPr>
          <w:rFonts w:ascii="宋体" w:hAnsi="宋体"/>
          <w:sz w:val="24"/>
          <w:szCs w:val="24"/>
        </w:rPr>
      </w:pPr>
      <w:r>
        <w:rPr>
          <w:rFonts w:ascii="宋体" w:hAnsi="宋体"/>
          <w:sz w:val="24"/>
          <w:szCs w:val="24"/>
        </w:rPr>
        <w:t>中标人在接到《中标通知书》后，必须在规定的时间内，准时派授权代表到指定地点按招标文件规定的合同条款和格式与</w:t>
      </w:r>
      <w:r>
        <w:rPr>
          <w:rFonts w:hint="eastAsia" w:ascii="宋体" w:hAnsi="宋体"/>
          <w:sz w:val="24"/>
          <w:szCs w:val="24"/>
        </w:rPr>
        <w:t>招标人</w:t>
      </w:r>
      <w:r>
        <w:rPr>
          <w:rFonts w:ascii="宋体" w:hAnsi="宋体"/>
          <w:sz w:val="24"/>
          <w:szCs w:val="24"/>
        </w:rPr>
        <w:t>签订合同。</w:t>
      </w:r>
    </w:p>
    <w:p>
      <w:pPr>
        <w:adjustRightInd w:val="0"/>
        <w:snapToGrid w:val="0"/>
        <w:spacing w:line="360" w:lineRule="auto"/>
        <w:ind w:firstLine="540" w:firstLineChars="225"/>
        <w:rPr>
          <w:rFonts w:ascii="宋体" w:hAnsi="宋体"/>
          <w:sz w:val="24"/>
          <w:szCs w:val="24"/>
        </w:rPr>
      </w:pPr>
      <w:r>
        <w:rPr>
          <w:rFonts w:ascii="宋体" w:hAnsi="宋体"/>
          <w:sz w:val="24"/>
          <w:szCs w:val="24"/>
        </w:rPr>
        <w:t>招标结果最终以双方合同确认为准，无合同，任何双方签字或其他形式确认的内容均无效，即使招标方以任何形式宣布该投标方中标，亦无效。</w:t>
      </w:r>
    </w:p>
    <w:p>
      <w:pPr>
        <w:adjustRightInd w:val="0"/>
        <w:snapToGrid w:val="0"/>
        <w:spacing w:line="360" w:lineRule="auto"/>
        <w:ind w:firstLine="540" w:firstLineChars="225"/>
        <w:rPr>
          <w:rFonts w:ascii="宋体" w:hAnsi="宋体"/>
          <w:sz w:val="24"/>
          <w:szCs w:val="24"/>
        </w:rPr>
      </w:pPr>
      <w:r>
        <w:rPr>
          <w:rFonts w:ascii="宋体" w:hAnsi="宋体"/>
          <w:sz w:val="24"/>
          <w:szCs w:val="24"/>
        </w:rPr>
        <w:t>1、投标方知道并承诺同意如不正式签订合同，本次招标结果对双方无任何约束力。</w:t>
      </w:r>
    </w:p>
    <w:p>
      <w:pPr>
        <w:adjustRightInd w:val="0"/>
        <w:snapToGrid w:val="0"/>
        <w:spacing w:line="360" w:lineRule="auto"/>
        <w:ind w:firstLine="540" w:firstLineChars="225"/>
        <w:rPr>
          <w:rFonts w:ascii="宋体" w:hAnsi="宋体"/>
          <w:sz w:val="24"/>
          <w:szCs w:val="24"/>
        </w:rPr>
      </w:pPr>
      <w:r>
        <w:rPr>
          <w:rFonts w:ascii="宋体" w:hAnsi="宋体"/>
          <w:sz w:val="24"/>
          <w:szCs w:val="24"/>
        </w:rPr>
        <w:t>2、投标方同意双方合同须经招标人审核后方有效，否则即使招标单位已签字盖章，招标单位仍有权对有关合同条款予以变更，投标方愿接受本条款约束，并同意有关纠纷由招标方所在地有管辖权的法院管辖。</w:t>
      </w:r>
    </w:p>
    <w:p>
      <w:pPr>
        <w:pStyle w:val="19"/>
        <w:adjustRightInd w:val="0"/>
        <w:snapToGrid w:val="0"/>
        <w:spacing w:after="0" w:line="360" w:lineRule="auto"/>
        <w:ind w:firstLine="540" w:firstLineChars="225"/>
        <w:rPr>
          <w:rFonts w:ascii="宋体" w:hAnsi="宋体"/>
          <w:sz w:val="24"/>
          <w:szCs w:val="24"/>
        </w:rPr>
      </w:pPr>
      <w:r>
        <w:rPr>
          <w:rFonts w:ascii="宋体" w:hAnsi="宋体"/>
          <w:sz w:val="24"/>
          <w:szCs w:val="24"/>
        </w:rPr>
        <w:t>招标者接受和拒绝任何或所有投标的权利：招标者保留在授予合同前因客观情况致使项目不能进行时有接受或拒绝任何投标，取消招标和拒绝所有投标的权利，无须对受影响的投标者承担任何责任，也没有义务将招标者的行动背景通知受影响的投标者。</w:t>
      </w:r>
    </w:p>
    <w:p>
      <w:pPr>
        <w:adjustRightInd w:val="0"/>
        <w:snapToGrid w:val="0"/>
        <w:spacing w:line="360" w:lineRule="auto"/>
        <w:ind w:firstLine="540" w:firstLineChars="225"/>
        <w:rPr>
          <w:rFonts w:ascii="宋体" w:hAnsi="宋体"/>
          <w:sz w:val="24"/>
          <w:szCs w:val="24"/>
        </w:rPr>
      </w:pPr>
      <w:r>
        <w:rPr>
          <w:rFonts w:ascii="宋体" w:hAnsi="宋体"/>
          <w:sz w:val="24"/>
          <w:szCs w:val="24"/>
        </w:rPr>
        <w:t>3、合同主要条款的说明：</w:t>
      </w:r>
    </w:p>
    <w:p>
      <w:pPr>
        <w:pStyle w:val="17"/>
        <w:adjustRightInd w:val="0"/>
        <w:snapToGrid w:val="0"/>
        <w:spacing w:after="0"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t>授予合同时招标方对招标要求中规定的</w:t>
      </w:r>
      <w:r>
        <w:rPr>
          <w:rFonts w:hint="eastAsia" w:ascii="宋体" w:hAnsi="宋体"/>
          <w:sz w:val="24"/>
          <w:szCs w:val="24"/>
        </w:rPr>
        <w:t>技术</w:t>
      </w:r>
      <w:r>
        <w:rPr>
          <w:rFonts w:ascii="宋体" w:hAnsi="宋体"/>
          <w:sz w:val="24"/>
          <w:szCs w:val="24"/>
        </w:rPr>
        <w:t>服务的数量、范围保留增加或减少招标文件中已列明的范围的权利。</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3.1</w:t>
      </w:r>
      <w:r>
        <w:rPr>
          <w:rFonts w:ascii="宋体" w:hAnsi="宋体"/>
          <w:sz w:val="24"/>
          <w:szCs w:val="24"/>
        </w:rPr>
        <w:t>变更、解除：</w:t>
      </w:r>
    </w:p>
    <w:p>
      <w:pPr>
        <w:adjustRightInd w:val="0"/>
        <w:snapToGrid w:val="0"/>
        <w:spacing w:line="360" w:lineRule="auto"/>
        <w:ind w:firstLine="480" w:firstLineChars="200"/>
        <w:rPr>
          <w:rFonts w:ascii="宋体" w:hAnsi="宋体"/>
          <w:sz w:val="24"/>
          <w:szCs w:val="24"/>
        </w:rPr>
      </w:pPr>
      <w:r>
        <w:rPr>
          <w:rFonts w:hint="eastAsia" w:ascii="宋体" w:hAnsi="宋体"/>
          <w:sz w:val="24"/>
          <w:szCs w:val="24"/>
        </w:rPr>
        <w:t>3.1.1</w:t>
      </w:r>
      <w:r>
        <w:rPr>
          <w:rFonts w:ascii="宋体" w:hAnsi="宋体"/>
          <w:sz w:val="24"/>
          <w:szCs w:val="24"/>
        </w:rPr>
        <w:t xml:space="preserve"> 投标者不得因招标方未及时付款而单方面</w:t>
      </w:r>
      <w:r>
        <w:rPr>
          <w:rFonts w:hint="eastAsia" w:ascii="宋体" w:hAnsi="宋体"/>
          <w:sz w:val="24"/>
          <w:szCs w:val="24"/>
        </w:rPr>
        <w:t>中止或</w:t>
      </w:r>
      <w:r>
        <w:rPr>
          <w:rFonts w:ascii="宋体" w:hAnsi="宋体"/>
          <w:sz w:val="24"/>
          <w:szCs w:val="24"/>
        </w:rPr>
        <w:t>终止合</w:t>
      </w:r>
      <w:r>
        <w:rPr>
          <w:rFonts w:hint="eastAsia" w:ascii="宋体" w:hAnsi="宋体"/>
          <w:sz w:val="24"/>
          <w:szCs w:val="24"/>
        </w:rPr>
        <w:t>同</w:t>
      </w:r>
      <w:r>
        <w:rPr>
          <w:rFonts w:ascii="宋体" w:hAnsi="宋体"/>
          <w:sz w:val="24"/>
          <w:szCs w:val="24"/>
        </w:rPr>
        <w:t>。</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3.1.2</w:t>
      </w:r>
      <w:r>
        <w:rPr>
          <w:rFonts w:ascii="宋体" w:hAnsi="宋体"/>
          <w:sz w:val="24"/>
          <w:szCs w:val="24"/>
        </w:rPr>
        <w:t xml:space="preserve"> 如投标者违反有关法律规定或合同约定或工作不符合招标方标准、要求，经招标方通知后10日内仍不整改或整改不符合招标方要求，招标方有权解除合同，投标者应赔偿因此而给招标方造成的损失。</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3.1.3</w:t>
      </w:r>
      <w:r>
        <w:rPr>
          <w:rFonts w:ascii="宋体" w:hAnsi="宋体"/>
          <w:sz w:val="24"/>
          <w:szCs w:val="24"/>
        </w:rPr>
        <w:t>如因招标时依据的客观情况变化，招标方不需再进行本招标项目，经招标方提前通知投标者，可变更或解除合同</w:t>
      </w:r>
      <w:r>
        <w:rPr>
          <w:rFonts w:hint="eastAsia" w:ascii="宋体" w:hAnsi="宋体"/>
          <w:sz w:val="24"/>
          <w:szCs w:val="24"/>
        </w:rPr>
        <w:t>及本次招标</w:t>
      </w:r>
      <w:r>
        <w:rPr>
          <w:rFonts w:ascii="宋体" w:hAnsi="宋体"/>
          <w:sz w:val="24"/>
          <w:szCs w:val="24"/>
        </w:rPr>
        <w:t>，招标方不需承担任何违约责任和赔偿责任。</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 xml:space="preserve">3.2 </w:t>
      </w:r>
      <w:r>
        <w:rPr>
          <w:rFonts w:ascii="宋体" w:hAnsi="宋体"/>
          <w:sz w:val="24"/>
          <w:szCs w:val="24"/>
        </w:rPr>
        <w:t>其他约定</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3.2.1</w:t>
      </w:r>
      <w:r>
        <w:rPr>
          <w:rFonts w:ascii="宋体" w:hAnsi="宋体"/>
          <w:sz w:val="24"/>
          <w:szCs w:val="24"/>
        </w:rPr>
        <w:t xml:space="preserve"> 招标方除按合同约定向投标者支付相关款项外，不需承担投标者的任何费用、利润损失、其他特殊或间接或意外或后续的损失、税金和其他款项等。</w:t>
      </w:r>
    </w:p>
    <w:p>
      <w:pPr>
        <w:adjustRightInd w:val="0"/>
        <w:snapToGrid w:val="0"/>
        <w:spacing w:line="360" w:lineRule="auto"/>
        <w:ind w:firstLine="540" w:firstLineChars="225"/>
        <w:jc w:val="left"/>
        <w:rPr>
          <w:rFonts w:ascii="宋体" w:hAnsi="宋体"/>
          <w:sz w:val="24"/>
          <w:szCs w:val="24"/>
        </w:rPr>
      </w:pPr>
      <w:r>
        <w:rPr>
          <w:rFonts w:hint="eastAsia" w:ascii="宋体" w:hAnsi="宋体"/>
          <w:sz w:val="24"/>
          <w:szCs w:val="24"/>
        </w:rPr>
        <w:t>3.2.2</w:t>
      </w:r>
      <w:r>
        <w:rPr>
          <w:rFonts w:ascii="宋体" w:hAnsi="宋体"/>
          <w:sz w:val="24"/>
          <w:szCs w:val="24"/>
        </w:rPr>
        <w:t xml:space="preserve"> 投标者承诺在签订合同前已书面告之招标方其与招标方关联企业之间签订的合同及合同履行情况，否则造成招标方与其关联企业为同一目的与投标者重复签订合同而造成损失的，由投标者承担。</w:t>
      </w:r>
    </w:p>
    <w:p>
      <w:pPr>
        <w:adjustRightInd w:val="0"/>
        <w:snapToGrid w:val="0"/>
        <w:spacing w:line="360" w:lineRule="auto"/>
        <w:ind w:firstLine="540" w:firstLineChars="225"/>
        <w:jc w:val="left"/>
        <w:rPr>
          <w:rFonts w:ascii="宋体" w:hAnsi="宋体"/>
          <w:sz w:val="24"/>
          <w:szCs w:val="24"/>
        </w:rPr>
      </w:pPr>
      <w:r>
        <w:rPr>
          <w:rFonts w:hint="eastAsia" w:ascii="宋体" w:hAnsi="宋体"/>
          <w:sz w:val="24"/>
          <w:szCs w:val="24"/>
        </w:rPr>
        <w:t>3.2.3</w:t>
      </w:r>
      <w:r>
        <w:rPr>
          <w:rFonts w:ascii="宋体" w:hAnsi="宋体"/>
          <w:sz w:val="24"/>
          <w:szCs w:val="24"/>
        </w:rPr>
        <w:t xml:space="preserve"> 如本合同需办理有关登记手续和合同鉴证手续，由投标者负责办理并承担全部费用。</w:t>
      </w:r>
    </w:p>
    <w:p>
      <w:pPr>
        <w:adjustRightInd w:val="0"/>
        <w:snapToGrid w:val="0"/>
        <w:spacing w:line="360" w:lineRule="auto"/>
        <w:ind w:firstLine="540" w:firstLineChars="225"/>
        <w:jc w:val="left"/>
        <w:rPr>
          <w:rFonts w:ascii="宋体" w:hAnsi="宋体"/>
          <w:sz w:val="24"/>
          <w:szCs w:val="24"/>
        </w:rPr>
      </w:pPr>
      <w:r>
        <w:rPr>
          <w:rFonts w:hint="eastAsia" w:ascii="宋体" w:hAnsi="宋体"/>
          <w:sz w:val="24"/>
          <w:szCs w:val="24"/>
        </w:rPr>
        <w:t>3.2.4</w:t>
      </w:r>
      <w:r>
        <w:rPr>
          <w:rFonts w:ascii="宋体" w:hAnsi="宋体"/>
          <w:sz w:val="24"/>
          <w:szCs w:val="24"/>
        </w:rPr>
        <w:t xml:space="preserve"> 投标者同意其与招标方发生的任何业务，在履行前都与招标方签订有书面合同（合同双方均已盖章认可）。如未签订符合本条约定的合同，投标者履行合同义务，招标方经办人接受而导致成立合同的，投标者同意招标方对未经招标方盖章确认的此类合同不承担任何责任，为招标方的经办人的个人行为。如因此给招标方造成损失的，投标者应负责赔偿。</w:t>
      </w:r>
    </w:p>
    <w:p>
      <w:pPr>
        <w:adjustRightInd w:val="0"/>
        <w:snapToGrid w:val="0"/>
        <w:spacing w:line="360" w:lineRule="auto"/>
        <w:ind w:firstLine="540" w:firstLineChars="225"/>
        <w:rPr>
          <w:rFonts w:ascii="宋体" w:hAnsi="宋体"/>
          <w:sz w:val="24"/>
          <w:szCs w:val="24"/>
        </w:rPr>
      </w:pPr>
      <w:r>
        <w:rPr>
          <w:rFonts w:hint="eastAsia" w:ascii="宋体" w:hAnsi="宋体"/>
          <w:sz w:val="24"/>
          <w:szCs w:val="24"/>
        </w:rPr>
        <w:t>3.3</w:t>
      </w:r>
      <w:r>
        <w:rPr>
          <w:rFonts w:ascii="宋体" w:hAnsi="宋体"/>
          <w:sz w:val="24"/>
          <w:szCs w:val="24"/>
        </w:rPr>
        <w:t>合同纠纷解决方式：如因本合同或履行本合同发生纠纷，双方应协商解决；协商不成时，双方同意提交招标方所在地人民法院诉讼解决。</w:t>
      </w:r>
    </w:p>
    <w:p>
      <w:pPr>
        <w:tabs>
          <w:tab w:val="left" w:pos="690"/>
        </w:tabs>
        <w:adjustRightInd w:val="0"/>
        <w:snapToGrid w:val="0"/>
        <w:spacing w:line="360" w:lineRule="auto"/>
        <w:ind w:firstLine="540" w:firstLineChars="225"/>
        <w:rPr>
          <w:rFonts w:ascii="宋体" w:hAnsi="宋体"/>
          <w:sz w:val="24"/>
          <w:szCs w:val="24"/>
        </w:rPr>
      </w:pPr>
      <w:r>
        <w:rPr>
          <w:rFonts w:hint="eastAsia" w:ascii="宋体" w:hAnsi="宋体"/>
          <w:sz w:val="24"/>
          <w:szCs w:val="24"/>
        </w:rPr>
        <w:t xml:space="preserve">3.4 </w:t>
      </w:r>
      <w:r>
        <w:rPr>
          <w:rFonts w:ascii="宋体" w:hAnsi="宋体"/>
          <w:sz w:val="24"/>
          <w:szCs w:val="24"/>
        </w:rPr>
        <w:t>合同取消</w:t>
      </w:r>
    </w:p>
    <w:p>
      <w:pPr>
        <w:tabs>
          <w:tab w:val="left" w:pos="690"/>
        </w:tabs>
        <w:adjustRightInd w:val="0"/>
        <w:snapToGrid w:val="0"/>
        <w:spacing w:line="360" w:lineRule="auto"/>
        <w:ind w:firstLine="540" w:firstLineChars="225"/>
        <w:rPr>
          <w:rFonts w:ascii="宋体" w:hAnsi="宋体"/>
          <w:sz w:val="24"/>
          <w:szCs w:val="24"/>
        </w:rPr>
      </w:pPr>
      <w:r>
        <w:rPr>
          <w:rFonts w:ascii="宋体" w:hAnsi="宋体"/>
          <w:sz w:val="24"/>
          <w:szCs w:val="24"/>
        </w:rPr>
        <w:t>若发现中标人提供的见证性资料存在虚假，即刻取消与招标人的合作资格。</w:t>
      </w:r>
    </w:p>
    <w:p>
      <w:pPr>
        <w:tabs>
          <w:tab w:val="left" w:pos="690"/>
        </w:tabs>
        <w:adjustRightInd w:val="0"/>
        <w:snapToGrid w:val="0"/>
        <w:spacing w:line="360" w:lineRule="auto"/>
        <w:ind w:firstLine="540" w:firstLineChars="225"/>
        <w:rPr>
          <w:rFonts w:ascii="宋体" w:hAnsi="宋体"/>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spacing w:line="360" w:lineRule="auto"/>
        <w:rPr>
          <w:rFonts w:eastAsia="黑体"/>
          <w:b/>
          <w:sz w:val="24"/>
          <w:szCs w:val="24"/>
        </w:rPr>
      </w:pPr>
    </w:p>
    <w:p>
      <w:pPr>
        <w:numPr>
          <w:ilvl w:val="0"/>
          <w:numId w:val="2"/>
        </w:numPr>
        <w:spacing w:line="360" w:lineRule="auto"/>
        <w:jc w:val="center"/>
        <w:rPr>
          <w:rFonts w:eastAsia="黑体"/>
          <w:b/>
          <w:sz w:val="36"/>
          <w:szCs w:val="36"/>
        </w:rPr>
      </w:pPr>
      <w:r>
        <w:rPr>
          <w:rFonts w:hint="eastAsia" w:eastAsia="黑体"/>
          <w:b/>
          <w:sz w:val="36"/>
          <w:szCs w:val="36"/>
        </w:rPr>
        <w:t xml:space="preserve"> 主要合同条款及格式</w:t>
      </w:r>
    </w:p>
    <w:p>
      <w:pPr>
        <w:spacing w:line="360" w:lineRule="auto"/>
        <w:rPr>
          <w:rFonts w:ascii="Arial Narrow" w:hAnsi="Arial Narrow" w:eastAsia="Arial Narrow" w:cs="Arial Narrow"/>
          <w:b/>
          <w:sz w:val="24"/>
          <w:szCs w:val="24"/>
        </w:rPr>
      </w:pPr>
      <w:r>
        <w:rPr>
          <w:rFonts w:hint="eastAsia" w:ascii="Arial Narrow" w:hAnsi="宋体" w:cs="宋体"/>
          <w:b/>
          <w:sz w:val="24"/>
          <w:szCs w:val="24"/>
        </w:rPr>
        <w:t>委托方：（以下称买方）：青岛特殊钢铁有限公司</w:t>
      </w:r>
    </w:p>
    <w:p>
      <w:pPr>
        <w:spacing w:line="360" w:lineRule="auto"/>
        <w:rPr>
          <w:rFonts w:ascii="Arial Narrow" w:hAnsi="Arial Narrow" w:eastAsia="Arial Narrow" w:cs="Arial Narrow"/>
          <w:b/>
          <w:sz w:val="24"/>
          <w:szCs w:val="24"/>
        </w:rPr>
      </w:pPr>
      <w:r>
        <w:rPr>
          <w:rFonts w:hint="eastAsia" w:ascii="Arial Narrow" w:hAnsi="宋体" w:cs="宋体"/>
          <w:b/>
          <w:sz w:val="24"/>
          <w:szCs w:val="24"/>
        </w:rPr>
        <w:t>法定代表人：</w:t>
      </w:r>
    </w:p>
    <w:p>
      <w:pPr>
        <w:spacing w:line="360" w:lineRule="auto"/>
        <w:rPr>
          <w:rFonts w:ascii="Arial Narrow" w:hAnsi="宋体" w:eastAsia="Arial Narrow" w:cs="Arial Narrow"/>
          <w:b/>
          <w:sz w:val="24"/>
          <w:szCs w:val="24"/>
        </w:rPr>
      </w:pPr>
      <w:r>
        <w:rPr>
          <w:rFonts w:hint="eastAsia" w:ascii="Arial Narrow" w:hAnsi="宋体" w:cs="宋体"/>
          <w:b/>
          <w:sz w:val="24"/>
          <w:szCs w:val="24"/>
        </w:rPr>
        <w:t>住所地：</w:t>
      </w:r>
    </w:p>
    <w:p>
      <w:pPr>
        <w:spacing w:line="360" w:lineRule="auto"/>
        <w:rPr>
          <w:rFonts w:ascii="Arial Narrow" w:hAnsi="宋体" w:eastAsia="Arial Narrow" w:cs="Arial Narrow"/>
          <w:b/>
          <w:sz w:val="24"/>
          <w:szCs w:val="24"/>
        </w:rPr>
      </w:pPr>
      <w:r>
        <w:rPr>
          <w:rFonts w:hint="eastAsia" w:ascii="Arial Narrow" w:hAnsi="宋体" w:cs="宋体"/>
          <w:b/>
          <w:sz w:val="24"/>
          <w:szCs w:val="24"/>
        </w:rPr>
        <w:t>服务方：（以下称卖方）：</w:t>
      </w:r>
    </w:p>
    <w:p>
      <w:pPr>
        <w:spacing w:line="360" w:lineRule="auto"/>
        <w:rPr>
          <w:rFonts w:ascii="Arial Narrow" w:hAnsi="宋体" w:eastAsia="Arial Narrow" w:cs="Arial Narrow"/>
          <w:b/>
          <w:sz w:val="24"/>
          <w:szCs w:val="24"/>
        </w:rPr>
      </w:pPr>
      <w:r>
        <w:rPr>
          <w:rFonts w:hint="eastAsia" w:ascii="Arial Narrow" w:hAnsi="宋体" w:cs="宋体"/>
          <w:b/>
          <w:sz w:val="24"/>
          <w:szCs w:val="24"/>
        </w:rPr>
        <w:t>法定代表人：</w:t>
      </w:r>
    </w:p>
    <w:p>
      <w:pPr>
        <w:widowControl/>
        <w:jc w:val="left"/>
      </w:pPr>
      <w:r>
        <w:rPr>
          <w:rFonts w:hint="eastAsia" w:ascii="Arial Narrow" w:hAnsi="宋体"/>
          <w:b/>
          <w:sz w:val="24"/>
          <w:szCs w:val="24"/>
        </w:rPr>
        <w:t>住所地：</w:t>
      </w:r>
    </w:p>
    <w:p>
      <w:pPr>
        <w:spacing w:line="360" w:lineRule="auto"/>
        <w:rPr>
          <w:rFonts w:eastAsia="黑体"/>
          <w:b/>
          <w:sz w:val="36"/>
          <w:szCs w:val="36"/>
        </w:rPr>
      </w:pPr>
      <w:r>
        <w:rPr>
          <w:rFonts w:hint="eastAsia" w:eastAsia="黑体"/>
          <w:b/>
          <w:sz w:val="36"/>
          <w:szCs w:val="36"/>
        </w:rPr>
        <w:t xml:space="preserve">    </w:t>
      </w:r>
      <w:r>
        <w:rPr>
          <w:rFonts w:hint="eastAsia" w:ascii="Arial Narrow" w:hAnsi="宋体"/>
          <w:sz w:val="24"/>
          <w:szCs w:val="24"/>
        </w:rPr>
        <w:t>依照《中华人民共和国合同法》及其他相关法律、法规和规章，双方本着平等互利、友好合作和诚实信用的原则，就卖方向买方4#高线搬迁工程立式卷芯棒设备的机械和电气安装调试提供技术服务等相关事宜，经充分协商签订本合同，以资双方共同信守。</w:t>
      </w:r>
    </w:p>
    <w:p>
      <w:pPr>
        <w:numPr>
          <w:ilvl w:val="0"/>
          <w:numId w:val="3"/>
        </w:numPr>
        <w:topLinePunct w:val="1"/>
        <w:spacing w:line="400" w:lineRule="exact"/>
        <w:rPr>
          <w:rFonts w:ascii="仿宋_GB2312" w:hAnsi="宋体" w:eastAsia="仿宋_GB2312"/>
          <w:b/>
          <w:bCs/>
          <w:sz w:val="28"/>
          <w:szCs w:val="28"/>
        </w:rPr>
      </w:pPr>
      <w:r>
        <w:rPr>
          <w:rFonts w:hint="eastAsia" w:ascii="仿宋_GB2312" w:hAnsi="宋体" w:eastAsia="仿宋_GB2312"/>
          <w:b/>
          <w:bCs/>
          <w:sz w:val="28"/>
          <w:szCs w:val="28"/>
        </w:rPr>
        <w:t>技术服务目标和内容及方式</w:t>
      </w:r>
    </w:p>
    <w:p>
      <w:pPr>
        <w:spacing w:line="360" w:lineRule="auto"/>
        <w:rPr>
          <w:rFonts w:ascii="Arial Narrow" w:hAnsi="宋体"/>
          <w:sz w:val="24"/>
          <w:szCs w:val="24"/>
        </w:rPr>
      </w:pPr>
      <w:r>
        <w:rPr>
          <w:rFonts w:hint="eastAsia" w:ascii="仿宋_GB2312" w:hAnsi="宋体" w:eastAsia="仿宋_GB2312"/>
          <w:sz w:val="28"/>
          <w:szCs w:val="28"/>
        </w:rPr>
        <w:t xml:space="preserve">   </w:t>
      </w:r>
      <w:r>
        <w:rPr>
          <w:rFonts w:hint="eastAsia" w:ascii="Arial Narrow" w:hAnsi="宋体"/>
          <w:sz w:val="24"/>
          <w:szCs w:val="24"/>
        </w:rPr>
        <w:t>1.1技术服务目标：根据4#高线搬迁工程需要，由于原四高线立式卷芯棒布置L型改为现在的矩形，为保障立式卷芯棒设备能够进行正确的安装和调试，并确保搬迁后立式卷芯棒运行正常，特签订4#高线搬迁工程立式卷芯棒设备的设计、安装、调试技术服务委托合同。</w:t>
      </w:r>
    </w:p>
    <w:p>
      <w:pPr>
        <w:spacing w:line="360" w:lineRule="auto"/>
        <w:rPr>
          <w:rFonts w:ascii="Arial Narrow" w:hAnsi="宋体"/>
          <w:sz w:val="24"/>
          <w:szCs w:val="24"/>
        </w:rPr>
      </w:pPr>
      <w:r>
        <w:rPr>
          <w:rFonts w:hint="eastAsia" w:ascii="Arial Narrow" w:hAnsi="宋体"/>
          <w:sz w:val="24"/>
          <w:szCs w:val="24"/>
        </w:rPr>
        <w:t xml:space="preserve">   1.2技术服务的内容：</w:t>
      </w:r>
    </w:p>
    <w:p>
      <w:pPr>
        <w:spacing w:line="500" w:lineRule="exact"/>
        <w:ind w:firstLine="354" w:firstLineChars="147"/>
        <w:rPr>
          <w:rFonts w:ascii="宋体" w:hAnsi="宋体"/>
          <w:b/>
          <w:sz w:val="24"/>
          <w:szCs w:val="24"/>
        </w:rPr>
      </w:pPr>
      <w:r>
        <w:rPr>
          <w:rFonts w:hint="eastAsia" w:ascii="宋体" w:hAnsi="宋体"/>
          <w:b/>
          <w:sz w:val="24"/>
          <w:szCs w:val="24"/>
        </w:rPr>
        <w:t>（一）、工作内容：</w:t>
      </w:r>
    </w:p>
    <w:p>
      <w:pPr>
        <w:spacing w:line="500" w:lineRule="exact"/>
        <w:ind w:firstLine="470" w:firstLineChars="196"/>
        <w:rPr>
          <w:rFonts w:ascii="宋体" w:hAnsi="宋体"/>
          <w:sz w:val="24"/>
          <w:szCs w:val="24"/>
        </w:rPr>
      </w:pPr>
      <w:r>
        <w:rPr>
          <w:rFonts w:hint="eastAsia" w:ascii="宋体" w:hAnsi="宋体"/>
          <w:sz w:val="24"/>
          <w:szCs w:val="24"/>
        </w:rPr>
        <w:t>四高线搬迁工程立式卷芯棒系统（原瑞典森德斯公司设计，国内生产）设备由于搬迁在工艺设计上，卷心棒布置由原来的L型改为矩形，此项改动要求中标方对搬迁工程的立式卷芯棒原有图纸和程序做出符合搬迁现场设备的改动，在安装调试前给出搬迁现场设备改动的最新图纸资料。同时此次招标服务还包含和电气</w:t>
      </w:r>
      <w:r>
        <w:rPr>
          <w:rFonts w:hint="eastAsia" w:ascii="宋体" w:hAnsi="宋体"/>
          <w:bCs/>
          <w:sz w:val="24"/>
          <w:szCs w:val="24"/>
        </w:rPr>
        <w:t>（包括集卷、末节辊道等）</w:t>
      </w:r>
      <w:r>
        <w:rPr>
          <w:rFonts w:hint="eastAsia" w:ascii="宋体" w:hAnsi="宋体"/>
          <w:sz w:val="24"/>
          <w:szCs w:val="24"/>
        </w:rPr>
        <w:t>的安装指导、调试、性能考核的技术指导服务。</w:t>
      </w:r>
      <w:r>
        <w:rPr>
          <w:rFonts w:hint="eastAsia" w:ascii="宋体" w:hAnsi="宋体"/>
          <w:bCs/>
          <w:sz w:val="24"/>
          <w:szCs w:val="24"/>
        </w:rPr>
        <w:t xml:space="preserve">  </w:t>
      </w:r>
    </w:p>
    <w:p>
      <w:pPr>
        <w:adjustRightInd w:val="0"/>
        <w:snapToGrid w:val="0"/>
        <w:spacing w:line="500" w:lineRule="exact"/>
        <w:ind w:firstLine="118" w:firstLineChars="49"/>
        <w:outlineLvl w:val="1"/>
        <w:rPr>
          <w:rFonts w:ascii="宋体" w:hAnsi="宋体"/>
          <w:b/>
          <w:sz w:val="24"/>
          <w:szCs w:val="24"/>
        </w:rPr>
      </w:pPr>
      <w:r>
        <w:rPr>
          <w:rFonts w:hint="eastAsia" w:ascii="宋体" w:hAnsi="宋体"/>
          <w:b/>
          <w:sz w:val="24"/>
          <w:szCs w:val="24"/>
        </w:rPr>
        <w:t xml:space="preserve">  （二）、  技术要求：</w:t>
      </w:r>
    </w:p>
    <w:p>
      <w:pPr>
        <w:adjustRightInd w:val="0"/>
        <w:snapToGrid w:val="0"/>
        <w:spacing w:line="500" w:lineRule="exact"/>
        <w:outlineLvl w:val="1"/>
        <w:rPr>
          <w:rFonts w:ascii="宋体" w:hAnsi="宋体"/>
          <w:bCs/>
          <w:sz w:val="24"/>
          <w:szCs w:val="24"/>
        </w:rPr>
      </w:pPr>
      <w:r>
        <w:rPr>
          <w:rFonts w:hint="eastAsia" w:ascii="宋体" w:hAnsi="宋体"/>
          <w:b/>
          <w:sz w:val="24"/>
          <w:szCs w:val="24"/>
        </w:rPr>
        <w:t xml:space="preserve">    </w:t>
      </w:r>
      <w:r>
        <w:rPr>
          <w:rFonts w:hint="eastAsia" w:ascii="宋体" w:hAnsi="宋体"/>
          <w:bCs/>
          <w:sz w:val="24"/>
          <w:szCs w:val="24"/>
        </w:rPr>
        <w:t>1、设备安装的技术服务：</w:t>
      </w:r>
    </w:p>
    <w:p>
      <w:pPr>
        <w:spacing w:line="360" w:lineRule="auto"/>
        <w:rPr>
          <w:rFonts w:ascii="宋体" w:hAnsi="宋体"/>
          <w:bCs/>
          <w:sz w:val="24"/>
          <w:szCs w:val="24"/>
        </w:rPr>
      </w:pPr>
      <w:r>
        <w:rPr>
          <w:rFonts w:hint="eastAsia" w:ascii="宋体" w:hAnsi="宋体"/>
          <w:bCs/>
          <w:sz w:val="24"/>
          <w:szCs w:val="24"/>
        </w:rPr>
        <w:t xml:space="preserve">      （1）根据森德斯公司的设备安装规范和技术标准，在施工单位安装森德斯设备时，给出安装标准和技术要求。</w:t>
      </w:r>
    </w:p>
    <w:p>
      <w:pPr>
        <w:spacing w:line="360" w:lineRule="auto"/>
        <w:ind w:firstLine="480" w:firstLineChars="200"/>
        <w:rPr>
          <w:rFonts w:ascii="宋体" w:hAnsi="宋体"/>
          <w:bCs/>
          <w:sz w:val="24"/>
          <w:szCs w:val="24"/>
        </w:rPr>
      </w:pPr>
      <w:r>
        <w:rPr>
          <w:rFonts w:hint="eastAsia" w:ascii="宋体" w:hAnsi="宋体"/>
          <w:bCs/>
          <w:sz w:val="24"/>
          <w:szCs w:val="24"/>
        </w:rPr>
        <w:t xml:space="preserve"> （2）负责指导森德斯设备的空载调试和热负荷试车工作以及运行工艺的调试工作。</w:t>
      </w:r>
    </w:p>
    <w:p>
      <w:pPr>
        <w:spacing w:line="360" w:lineRule="auto"/>
        <w:ind w:firstLine="480" w:firstLineChars="200"/>
        <w:rPr>
          <w:rFonts w:ascii="宋体" w:hAnsi="宋体"/>
          <w:bCs/>
          <w:sz w:val="24"/>
          <w:szCs w:val="24"/>
        </w:rPr>
      </w:pPr>
      <w:r>
        <w:rPr>
          <w:rFonts w:hint="eastAsia" w:ascii="宋体" w:hAnsi="宋体"/>
          <w:bCs/>
          <w:sz w:val="24"/>
          <w:szCs w:val="24"/>
        </w:rPr>
        <w:t>2、电气调试的技术服务：</w:t>
      </w:r>
    </w:p>
    <w:p>
      <w:pPr>
        <w:spacing w:line="360" w:lineRule="auto"/>
        <w:rPr>
          <w:rFonts w:ascii="宋体"/>
          <w:bCs/>
          <w:sz w:val="24"/>
          <w:szCs w:val="24"/>
        </w:rPr>
      </w:pPr>
      <w:r>
        <w:rPr>
          <w:rFonts w:hint="eastAsia" w:ascii="宋体" w:hAnsi="宋体"/>
          <w:bCs/>
          <w:sz w:val="24"/>
          <w:szCs w:val="24"/>
        </w:rPr>
        <w:t xml:space="preserve">     （</w:t>
      </w:r>
      <w:r>
        <w:rPr>
          <w:rFonts w:ascii="宋体" w:hAnsi="宋体"/>
          <w:bCs/>
          <w:sz w:val="24"/>
          <w:szCs w:val="24"/>
        </w:rPr>
        <w:t>1</w:t>
      </w:r>
      <w:r>
        <w:rPr>
          <w:rFonts w:hint="eastAsia" w:ascii="宋体" w:hAnsi="宋体"/>
          <w:bCs/>
          <w:sz w:val="24"/>
          <w:szCs w:val="24"/>
        </w:rPr>
        <w:t>）</w:t>
      </w:r>
      <w:r>
        <w:rPr>
          <w:rFonts w:hint="eastAsia"/>
          <w:color w:val="000000"/>
          <w:sz w:val="24"/>
          <w:szCs w:val="24"/>
        </w:rPr>
        <w:t>芯架设备原四高线布置方式为</w:t>
      </w:r>
      <w:r>
        <w:rPr>
          <w:rFonts w:ascii="Arial" w:hAnsi="Arial" w:cs="Arial"/>
          <w:color w:val="000000"/>
          <w:sz w:val="24"/>
          <w:szCs w:val="24"/>
        </w:rPr>
        <w:t>L</w:t>
      </w:r>
      <w:r>
        <w:rPr>
          <w:rFonts w:hint="eastAsia"/>
          <w:color w:val="000000"/>
          <w:sz w:val="24"/>
          <w:szCs w:val="24"/>
        </w:rPr>
        <w:t>型，现布置形式为矩形。这部分改动需中标方重新设计系统及程序。</w:t>
      </w:r>
    </w:p>
    <w:p>
      <w:pPr>
        <w:spacing w:line="360" w:lineRule="auto"/>
        <w:ind w:firstLine="480" w:firstLineChars="200"/>
        <w:rPr>
          <w:rFonts w:ascii="宋体" w:hAnsi="宋体"/>
          <w:bCs/>
          <w:sz w:val="24"/>
          <w:szCs w:val="24"/>
        </w:rPr>
      </w:pPr>
      <w:r>
        <w:rPr>
          <w:rFonts w:ascii="宋体" w:hAnsi="宋体"/>
          <w:bCs/>
          <w:sz w:val="24"/>
          <w:szCs w:val="24"/>
        </w:rPr>
        <w:t xml:space="preserve"> </w:t>
      </w:r>
      <w:r>
        <w:rPr>
          <w:rFonts w:hint="eastAsia" w:ascii="宋体" w:hAnsi="宋体"/>
          <w:bCs/>
          <w:sz w:val="24"/>
          <w:szCs w:val="24"/>
        </w:rPr>
        <w:t>（</w:t>
      </w:r>
      <w:r>
        <w:rPr>
          <w:rFonts w:ascii="宋体" w:hAnsi="宋体"/>
          <w:bCs/>
          <w:sz w:val="24"/>
          <w:szCs w:val="24"/>
        </w:rPr>
        <w:t>2</w:t>
      </w:r>
      <w:r>
        <w:rPr>
          <w:rFonts w:hint="eastAsia" w:ascii="宋体" w:hAnsi="宋体"/>
          <w:bCs/>
          <w:sz w:val="24"/>
          <w:szCs w:val="24"/>
        </w:rPr>
        <w:t>）负责森德斯技术人员曾经进行的电气打点调试（由买方及施工单位协助）、人机界面参数的修改和软件升级改造服务，调试后应完全满足生产要求。</w:t>
      </w:r>
    </w:p>
    <w:p>
      <w:pPr>
        <w:spacing w:line="360" w:lineRule="auto"/>
        <w:ind w:firstLine="480" w:firstLineChars="200"/>
        <w:rPr>
          <w:rFonts w:ascii="宋体" w:hAnsi="宋体"/>
          <w:sz w:val="24"/>
          <w:szCs w:val="24"/>
        </w:rPr>
      </w:pPr>
      <w:r>
        <w:rPr>
          <w:rFonts w:hint="eastAsia" w:ascii="宋体" w:hAnsi="宋体"/>
          <w:bCs/>
          <w:sz w:val="24"/>
          <w:szCs w:val="24"/>
        </w:rPr>
        <w:t xml:space="preserve"> （3）负责指导森德斯电气设备的热负荷试车工作。</w:t>
      </w:r>
    </w:p>
    <w:p>
      <w:pPr>
        <w:spacing w:line="360" w:lineRule="auto"/>
        <w:ind w:firstLine="482" w:firstLineChars="200"/>
        <w:rPr>
          <w:rFonts w:ascii="宋体"/>
          <w:b/>
          <w:bCs/>
          <w:sz w:val="24"/>
          <w:szCs w:val="24"/>
        </w:rPr>
      </w:pPr>
      <w:r>
        <w:rPr>
          <w:rFonts w:hint="eastAsia" w:ascii="宋体" w:hAnsi="宋体"/>
          <w:b/>
          <w:bCs/>
          <w:sz w:val="24"/>
          <w:szCs w:val="24"/>
        </w:rPr>
        <w:t>（三）、现场培训：</w:t>
      </w:r>
    </w:p>
    <w:p>
      <w:pPr>
        <w:spacing w:line="360" w:lineRule="auto"/>
        <w:ind w:firstLine="480" w:firstLineChars="200"/>
        <w:rPr>
          <w:rFonts w:ascii="宋体"/>
          <w:bCs/>
          <w:sz w:val="24"/>
          <w:szCs w:val="24"/>
        </w:rPr>
      </w:pPr>
      <w:r>
        <w:rPr>
          <w:rFonts w:ascii="宋体" w:hAnsi="宋体"/>
          <w:bCs/>
          <w:sz w:val="24"/>
          <w:szCs w:val="24"/>
        </w:rPr>
        <w:t xml:space="preserve">   </w:t>
      </w:r>
      <w:r>
        <w:rPr>
          <w:rFonts w:hint="eastAsia" w:ascii="宋体" w:hAnsi="宋体"/>
          <w:bCs/>
          <w:sz w:val="24"/>
          <w:szCs w:val="24"/>
        </w:rPr>
        <w:t>在最终安装和热试阶段，卖方技术人员将给买方人员实际操作培训。使受训者更熟悉设备、使用设备。</w:t>
      </w:r>
    </w:p>
    <w:p>
      <w:pPr>
        <w:spacing w:line="360" w:lineRule="auto"/>
        <w:ind w:firstLine="480" w:firstLineChars="200"/>
        <w:rPr>
          <w:rFonts w:ascii="Arial Narrow" w:hAnsi="宋体"/>
          <w:sz w:val="24"/>
          <w:szCs w:val="24"/>
        </w:rPr>
      </w:pPr>
      <w:r>
        <w:rPr>
          <w:rFonts w:hint="eastAsia" w:ascii="Arial Narrow" w:hAnsi="宋体"/>
          <w:sz w:val="24"/>
          <w:szCs w:val="24"/>
        </w:rPr>
        <w:t>3技术服务的方式：卖方根据4#高线搬迁工程需要安排安装调试工程师在买方的安装现场进行立式卷芯棒系统设备的安装、调试等方面的技术服务。</w:t>
      </w:r>
    </w:p>
    <w:p>
      <w:pPr>
        <w:spacing w:line="360" w:lineRule="auto"/>
        <w:ind w:firstLine="480" w:firstLineChars="200"/>
        <w:rPr>
          <w:rFonts w:ascii="Arial Narrow" w:hAnsi="宋体"/>
          <w:sz w:val="24"/>
          <w:szCs w:val="24"/>
        </w:rPr>
      </w:pPr>
      <w:r>
        <w:rPr>
          <w:rFonts w:hint="eastAsia" w:ascii="Arial Narrow" w:hAnsi="宋体"/>
          <w:sz w:val="24"/>
          <w:szCs w:val="24"/>
        </w:rPr>
        <w:t>4技术服务时间和质量要求：</w:t>
      </w:r>
    </w:p>
    <w:p>
      <w:pPr>
        <w:spacing w:line="360" w:lineRule="auto"/>
        <w:ind w:firstLine="480" w:firstLineChars="200"/>
        <w:rPr>
          <w:rFonts w:ascii="Arial Narrow" w:hAnsi="宋体"/>
          <w:sz w:val="24"/>
          <w:szCs w:val="24"/>
        </w:rPr>
      </w:pPr>
      <w:r>
        <w:rPr>
          <w:rFonts w:hint="eastAsia" w:ascii="Arial Narrow" w:hAnsi="宋体"/>
          <w:sz w:val="24"/>
          <w:szCs w:val="24"/>
        </w:rPr>
        <w:t>4.1服务</w:t>
      </w:r>
    </w:p>
    <w:p>
      <w:pPr>
        <w:spacing w:line="360" w:lineRule="auto"/>
        <w:ind w:firstLine="480" w:firstLineChars="200"/>
        <w:rPr>
          <w:rFonts w:ascii="Arial Narrow" w:hAnsi="宋体"/>
          <w:sz w:val="24"/>
          <w:szCs w:val="24"/>
        </w:rPr>
      </w:pPr>
      <w:r>
        <w:rPr>
          <w:rFonts w:hint="eastAsia" w:ascii="Arial Narrow" w:hAnsi="宋体"/>
          <w:sz w:val="24"/>
          <w:szCs w:val="24"/>
        </w:rPr>
        <w:t>卖方须在买方4#高线工程搬迁期间提供不少于合同要求的工作时间（安装调试工程师1人， 30个工作日）。</w:t>
      </w:r>
    </w:p>
    <w:p>
      <w:pPr>
        <w:spacing w:line="360" w:lineRule="auto"/>
        <w:ind w:firstLine="480" w:firstLineChars="200"/>
        <w:rPr>
          <w:rFonts w:ascii="Arial Narrow" w:hAnsi="宋体"/>
          <w:sz w:val="24"/>
          <w:szCs w:val="24"/>
        </w:rPr>
      </w:pPr>
      <w:r>
        <w:rPr>
          <w:rFonts w:hint="eastAsia" w:ascii="Arial Narrow" w:hAnsi="宋体"/>
          <w:sz w:val="24"/>
          <w:szCs w:val="24"/>
        </w:rPr>
        <w:t>4.2卖方须在上述工作时间内完成要求的技术服务内容。</w:t>
      </w:r>
    </w:p>
    <w:p>
      <w:pPr>
        <w:spacing w:line="360" w:lineRule="auto"/>
        <w:ind w:firstLine="480" w:firstLineChars="200"/>
        <w:rPr>
          <w:rFonts w:ascii="Arial Narrow" w:hAnsi="宋体"/>
          <w:sz w:val="24"/>
          <w:szCs w:val="24"/>
        </w:rPr>
      </w:pPr>
      <w:r>
        <w:rPr>
          <w:rFonts w:hint="eastAsia" w:ascii="Arial Narrow" w:hAnsi="宋体"/>
          <w:sz w:val="24"/>
          <w:szCs w:val="24"/>
        </w:rPr>
        <w:t>4.3卖方每周工作5天，每天工作时间为8小时；根据工程需要，买方可要求卖方每周工作6天，每天的工作时间不超过8小时。</w:t>
      </w:r>
    </w:p>
    <w:p>
      <w:pPr>
        <w:spacing w:line="360" w:lineRule="auto"/>
        <w:ind w:firstLine="480" w:firstLineChars="200"/>
        <w:rPr>
          <w:rFonts w:ascii="Arial Narrow" w:hAnsi="宋体"/>
          <w:sz w:val="24"/>
          <w:szCs w:val="24"/>
        </w:rPr>
      </w:pPr>
      <w:r>
        <w:rPr>
          <w:rFonts w:hint="eastAsia" w:ascii="Arial Narrow" w:hAnsi="宋体"/>
          <w:sz w:val="24"/>
          <w:szCs w:val="24"/>
        </w:rPr>
        <w:t>4.4立式卷芯棒系统的设备和电气安装、调试、轧制工艺等方面的技术服务指导和功能考核依据原4#高线工程建设时与森德斯公司签订的技术协议（附件）</w:t>
      </w:r>
    </w:p>
    <w:p>
      <w:pPr>
        <w:topLinePunct w:val="1"/>
        <w:spacing w:line="400" w:lineRule="exact"/>
        <w:rPr>
          <w:rFonts w:ascii="仿宋_GB2312" w:hAnsi="宋体" w:eastAsia="仿宋_GB2312"/>
          <w:b/>
          <w:bCs/>
          <w:sz w:val="28"/>
          <w:szCs w:val="28"/>
        </w:rPr>
      </w:pPr>
      <w:r>
        <w:rPr>
          <w:rFonts w:hint="eastAsia" w:ascii="仿宋_GB2312" w:hAnsi="宋体" w:eastAsia="仿宋_GB2312"/>
          <w:b/>
          <w:bCs/>
          <w:sz w:val="28"/>
          <w:szCs w:val="28"/>
        </w:rPr>
        <w:t xml:space="preserve">   2.服务地点及进度安排</w:t>
      </w:r>
    </w:p>
    <w:p>
      <w:pPr>
        <w:spacing w:line="360" w:lineRule="auto"/>
        <w:rPr>
          <w:rFonts w:ascii="Arial Narrow" w:hAnsi="宋体"/>
          <w:sz w:val="24"/>
          <w:szCs w:val="24"/>
        </w:rPr>
      </w:pPr>
      <w:r>
        <w:rPr>
          <w:rFonts w:hint="eastAsia" w:ascii="仿宋_GB2312" w:hAnsi="宋体" w:eastAsia="仿宋_GB2312"/>
          <w:sz w:val="28"/>
          <w:szCs w:val="28"/>
        </w:rPr>
        <w:t xml:space="preserve">   </w:t>
      </w:r>
      <w:r>
        <w:rPr>
          <w:rFonts w:hint="eastAsia" w:ascii="Arial Narrow" w:hAnsi="宋体"/>
          <w:sz w:val="24"/>
          <w:szCs w:val="24"/>
        </w:rPr>
        <w:t>2.1技术服务地点</w:t>
      </w:r>
    </w:p>
    <w:p>
      <w:pPr>
        <w:spacing w:line="360" w:lineRule="auto"/>
        <w:ind w:firstLine="480" w:firstLineChars="200"/>
        <w:rPr>
          <w:rFonts w:ascii="Arial Narrow" w:hAnsi="宋体"/>
          <w:sz w:val="24"/>
          <w:szCs w:val="24"/>
        </w:rPr>
      </w:pPr>
      <w:r>
        <w:rPr>
          <w:rFonts w:hint="eastAsia" w:ascii="Arial Narrow" w:hAnsi="宋体"/>
          <w:sz w:val="24"/>
          <w:szCs w:val="24"/>
        </w:rPr>
        <w:t xml:space="preserve">   设备安装地点：青岛市黄岛区泊里镇青钢新建厂区                   </w:t>
      </w:r>
    </w:p>
    <w:p>
      <w:pPr>
        <w:spacing w:line="360" w:lineRule="auto"/>
        <w:ind w:firstLine="480" w:firstLineChars="200"/>
        <w:rPr>
          <w:rFonts w:ascii="Arial Narrow" w:hAnsi="宋体"/>
          <w:sz w:val="24"/>
          <w:szCs w:val="24"/>
        </w:rPr>
      </w:pPr>
      <w:r>
        <w:rPr>
          <w:rFonts w:hint="eastAsia" w:ascii="Arial Narrow" w:hAnsi="宋体"/>
          <w:sz w:val="24"/>
          <w:szCs w:val="24"/>
        </w:rPr>
        <w:t xml:space="preserve">2.2进度安排：卖方须根据工程需要在买方要求的时间到达设备安装现场，且在要求的时间周期内完成服务。 </w:t>
      </w:r>
    </w:p>
    <w:p>
      <w:pPr>
        <w:numPr>
          <w:ilvl w:val="0"/>
          <w:numId w:val="4"/>
        </w:numPr>
        <w:spacing w:line="360" w:lineRule="auto"/>
        <w:ind w:firstLine="560" w:firstLineChars="200"/>
        <w:rPr>
          <w:rFonts w:ascii="仿宋_GB2312" w:hAnsi="宋体" w:eastAsia="仿宋_GB2312"/>
          <w:b/>
          <w:bCs/>
          <w:sz w:val="28"/>
          <w:szCs w:val="28"/>
        </w:rPr>
      </w:pPr>
      <w:r>
        <w:rPr>
          <w:rFonts w:hint="eastAsia" w:ascii="仿宋_GB2312" w:hAnsi="宋体" w:eastAsia="仿宋_GB2312"/>
          <w:b/>
          <w:bCs/>
          <w:sz w:val="28"/>
          <w:szCs w:val="28"/>
        </w:rPr>
        <w:t xml:space="preserve">资料的提供   </w:t>
      </w:r>
    </w:p>
    <w:p>
      <w:pPr>
        <w:spacing w:line="360" w:lineRule="auto"/>
        <w:rPr>
          <w:rFonts w:ascii="Arial Narrow" w:hAnsi="宋体"/>
          <w:sz w:val="24"/>
          <w:szCs w:val="24"/>
        </w:rPr>
      </w:pPr>
      <w:r>
        <w:rPr>
          <w:rFonts w:hint="eastAsia" w:ascii="Arial Narrow" w:hAnsi="宋体"/>
          <w:sz w:val="24"/>
          <w:szCs w:val="24"/>
        </w:rPr>
        <w:t xml:space="preserve">     </w:t>
      </w:r>
      <w:r>
        <w:rPr>
          <w:rFonts w:ascii="Arial Narrow" w:hAnsi="宋体"/>
          <w:sz w:val="24"/>
          <w:szCs w:val="24"/>
        </w:rPr>
        <w:t>3.1</w:t>
      </w:r>
      <w:r>
        <w:rPr>
          <w:rFonts w:hint="eastAsia" w:ascii="Arial Narrow" w:hAnsi="宋体"/>
          <w:sz w:val="24"/>
          <w:szCs w:val="24"/>
        </w:rPr>
        <w:t>买方根据卖方提供的资料清单向卖方提供工程的有关技术资料。卖方应在本合同签订后</w:t>
      </w:r>
      <w:r>
        <w:rPr>
          <w:rFonts w:ascii="Arial Narrow" w:hAnsi="宋体"/>
          <w:sz w:val="24"/>
          <w:szCs w:val="24"/>
        </w:rPr>
        <w:t>2</w:t>
      </w:r>
      <w:r>
        <w:rPr>
          <w:rFonts w:hint="eastAsia" w:ascii="Arial Narrow" w:hAnsi="宋体"/>
          <w:sz w:val="24"/>
          <w:szCs w:val="24"/>
        </w:rPr>
        <w:t>日内向买方提供需要由买方准备的资料清单，并在本合同签订后</w:t>
      </w:r>
      <w:r>
        <w:rPr>
          <w:rFonts w:ascii="Arial Narrow" w:hAnsi="宋体"/>
          <w:sz w:val="24"/>
          <w:szCs w:val="24"/>
        </w:rPr>
        <w:t>5</w:t>
      </w:r>
      <w:r>
        <w:rPr>
          <w:rFonts w:hint="eastAsia" w:ascii="Arial Narrow" w:hAnsi="宋体"/>
          <w:sz w:val="24"/>
          <w:szCs w:val="24"/>
        </w:rPr>
        <w:t>日内自行到买方处领取上述资料（均为复印件），双方签署交接清单。如卖方对资料的真实性、全面性等有任何异议的，卖方应当在收到前述资料后2日内提出异议，否则视为买方提供的资料符合卖方的要求，由此导致的全部法律责任均由卖方承担。</w:t>
      </w:r>
    </w:p>
    <w:p>
      <w:pPr>
        <w:spacing w:line="360" w:lineRule="auto"/>
        <w:rPr>
          <w:rFonts w:ascii="仿宋_GB2312" w:hAnsi="宋体" w:eastAsia="仿宋_GB2312"/>
          <w:b/>
          <w:bCs/>
          <w:sz w:val="28"/>
          <w:szCs w:val="28"/>
        </w:rPr>
      </w:pPr>
      <w:r>
        <w:rPr>
          <w:rFonts w:hint="eastAsia" w:ascii="仿宋_GB2312" w:hAnsi="宋体" w:eastAsia="仿宋_GB2312"/>
          <w:b/>
          <w:bCs/>
          <w:sz w:val="28"/>
          <w:szCs w:val="28"/>
        </w:rPr>
        <w:t xml:space="preserve">   4.合同价款</w:t>
      </w:r>
    </w:p>
    <w:p>
      <w:pPr>
        <w:spacing w:line="360" w:lineRule="auto"/>
        <w:ind w:firstLine="480" w:firstLineChars="200"/>
        <w:rPr>
          <w:rFonts w:ascii="Arial Narrow" w:hAnsi="宋体"/>
          <w:sz w:val="24"/>
          <w:szCs w:val="24"/>
        </w:rPr>
      </w:pPr>
      <w:r>
        <w:rPr>
          <w:rFonts w:hint="eastAsia" w:ascii="Arial Narrow" w:hAnsi="宋体"/>
          <w:sz w:val="24"/>
          <w:szCs w:val="24"/>
        </w:rPr>
        <w:t>4.1服务人员名称、服务时间及金额</w:t>
      </w:r>
    </w:p>
    <w:tbl>
      <w:tblPr>
        <w:tblStyle w:val="24"/>
        <w:tblW w:w="9405"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796"/>
        <w:gridCol w:w="1209"/>
        <w:gridCol w:w="1080"/>
        <w:gridCol w:w="1815"/>
        <w:gridCol w:w="1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3" w:hRule="atLeast"/>
        </w:trPr>
        <w:tc>
          <w:tcPr>
            <w:tcW w:w="735" w:type="dxa"/>
            <w:vMerge w:val="restart"/>
            <w:tcBorders>
              <w:top w:val="single" w:color="auto" w:sz="4" w:space="0"/>
              <w:left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r>
              <w:rPr>
                <w:rFonts w:hint="eastAsia" w:ascii="Arial Narrow" w:hAnsi="Arial Narrow" w:cs="宋体"/>
                <w:sz w:val="24"/>
                <w:szCs w:val="24"/>
                <w:highlight w:val="none"/>
              </w:rPr>
              <w:t>序号</w:t>
            </w:r>
          </w:p>
        </w:tc>
        <w:tc>
          <w:tcPr>
            <w:tcW w:w="2796" w:type="dxa"/>
            <w:vMerge w:val="restart"/>
            <w:tcBorders>
              <w:top w:val="single" w:color="auto" w:sz="4" w:space="0"/>
              <w:left w:val="single" w:color="auto" w:sz="4" w:space="0"/>
            </w:tcBorders>
            <w:vAlign w:val="center"/>
          </w:tcPr>
          <w:p>
            <w:pPr>
              <w:jc w:val="center"/>
              <w:rPr>
                <w:rFonts w:ascii="Arial Narrow" w:hAnsi="Arial Narrow" w:eastAsia="Arial Narrow" w:cs="Arial Narrow"/>
                <w:sz w:val="24"/>
                <w:szCs w:val="24"/>
                <w:highlight w:val="none"/>
              </w:rPr>
            </w:pPr>
            <w:r>
              <w:rPr>
                <w:rFonts w:hint="eastAsia" w:ascii="Arial Narrow" w:hAnsi="Arial Narrow" w:cs="宋体"/>
                <w:sz w:val="24"/>
                <w:szCs w:val="24"/>
                <w:highlight w:val="none"/>
              </w:rPr>
              <w:t>服务人员名称、数量</w:t>
            </w:r>
          </w:p>
        </w:tc>
        <w:tc>
          <w:tcPr>
            <w:tcW w:w="2289" w:type="dxa"/>
            <w:gridSpan w:val="2"/>
            <w:tcBorders>
              <w:top w:val="single" w:color="auto" w:sz="4" w:space="0"/>
              <w:left w:val="single" w:color="auto" w:sz="4" w:space="0"/>
              <w:bottom w:val="single" w:color="auto" w:sz="4" w:space="0"/>
            </w:tcBorders>
            <w:vAlign w:val="center"/>
          </w:tcPr>
          <w:p>
            <w:pPr>
              <w:jc w:val="center"/>
              <w:rPr>
                <w:rFonts w:ascii="Arial Narrow" w:hAnsi="Arial Narrow" w:cs="Arial Narrow"/>
                <w:sz w:val="24"/>
                <w:szCs w:val="24"/>
                <w:highlight w:val="none"/>
              </w:rPr>
            </w:pPr>
            <w:r>
              <w:rPr>
                <w:rFonts w:hint="eastAsia" w:ascii="Arial Narrow" w:hAnsi="Arial Narrow" w:cs="Arial Narrow"/>
                <w:sz w:val="24"/>
                <w:szCs w:val="24"/>
                <w:highlight w:val="none"/>
              </w:rPr>
              <w:t>服务时间</w:t>
            </w:r>
          </w:p>
        </w:tc>
        <w:tc>
          <w:tcPr>
            <w:tcW w:w="1815" w:type="dxa"/>
            <w:vMerge w:val="restart"/>
            <w:tcBorders>
              <w:top w:val="single" w:color="auto" w:sz="4" w:space="0"/>
              <w:left w:val="single" w:color="auto" w:sz="4" w:space="0"/>
              <w:right w:val="single" w:color="auto" w:sz="4" w:space="0"/>
            </w:tcBorders>
            <w:vAlign w:val="center"/>
          </w:tcPr>
          <w:p>
            <w:pPr>
              <w:widowControl/>
              <w:jc w:val="center"/>
              <w:rPr>
                <w:rFonts w:ascii="Arial Narrow" w:hAnsi="Arial Narrow" w:eastAsia="Arial Narrow" w:cs="Arial Narrow"/>
                <w:sz w:val="24"/>
                <w:szCs w:val="24"/>
                <w:highlight w:val="none"/>
              </w:rPr>
            </w:pPr>
            <w:r>
              <w:rPr>
                <w:rFonts w:hint="eastAsia" w:ascii="Arial Narrow" w:hAnsi="Arial Narrow" w:cs="宋体"/>
                <w:sz w:val="24"/>
                <w:szCs w:val="24"/>
                <w:highlight w:val="none"/>
              </w:rPr>
              <w:t>单价（元）</w:t>
            </w:r>
          </w:p>
        </w:tc>
        <w:tc>
          <w:tcPr>
            <w:tcW w:w="1770" w:type="dxa"/>
            <w:vMerge w:val="restart"/>
            <w:tcBorders>
              <w:top w:val="single" w:color="auto" w:sz="4" w:space="0"/>
              <w:left w:val="single" w:color="auto" w:sz="4" w:space="0"/>
              <w:right w:val="single" w:color="auto" w:sz="4" w:space="0"/>
            </w:tcBorders>
            <w:vAlign w:val="center"/>
          </w:tcPr>
          <w:p>
            <w:pPr>
              <w:widowControl/>
              <w:jc w:val="center"/>
              <w:rPr>
                <w:rFonts w:ascii="Arial Narrow" w:hAnsi="Arial Narrow" w:eastAsia="Arial Narrow" w:cs="Arial Narrow"/>
                <w:sz w:val="24"/>
                <w:szCs w:val="24"/>
                <w:highlight w:val="none"/>
              </w:rPr>
            </w:pPr>
            <w:r>
              <w:rPr>
                <w:rFonts w:hint="eastAsia" w:ascii="Arial Narrow" w:hAnsi="Arial Narrow" w:cs="宋体"/>
                <w:sz w:val="24"/>
                <w:szCs w:val="24"/>
                <w:highlight w:val="none"/>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3" w:hRule="atLeast"/>
        </w:trPr>
        <w:tc>
          <w:tcPr>
            <w:tcW w:w="735" w:type="dxa"/>
            <w:vMerge w:val="continue"/>
            <w:tcBorders>
              <w:left w:val="single" w:color="auto" w:sz="4" w:space="0"/>
              <w:bottom w:val="single" w:color="auto" w:sz="4" w:space="0"/>
              <w:right w:val="single" w:color="auto" w:sz="4" w:space="0"/>
            </w:tcBorders>
            <w:vAlign w:val="center"/>
          </w:tcPr>
          <w:p>
            <w:pPr>
              <w:jc w:val="center"/>
              <w:rPr>
                <w:rFonts w:ascii="Arial Narrow" w:hAnsi="Arial Narrow" w:cs="宋体"/>
                <w:sz w:val="24"/>
                <w:szCs w:val="24"/>
                <w:highlight w:val="none"/>
              </w:rPr>
            </w:pPr>
          </w:p>
        </w:tc>
        <w:tc>
          <w:tcPr>
            <w:tcW w:w="2796" w:type="dxa"/>
            <w:vMerge w:val="continue"/>
            <w:tcBorders>
              <w:left w:val="single" w:color="auto" w:sz="4" w:space="0"/>
              <w:bottom w:val="single" w:color="auto" w:sz="4" w:space="0"/>
            </w:tcBorders>
            <w:vAlign w:val="center"/>
          </w:tcPr>
          <w:p>
            <w:pPr>
              <w:jc w:val="center"/>
              <w:rPr>
                <w:rFonts w:ascii="Arial Narrow" w:hAnsi="Arial Narrow" w:cs="宋体"/>
                <w:sz w:val="24"/>
                <w:szCs w:val="24"/>
                <w:highlight w:val="none"/>
              </w:rPr>
            </w:pP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宋体"/>
                <w:sz w:val="24"/>
                <w:szCs w:val="24"/>
                <w:highlight w:val="none"/>
              </w:rPr>
            </w:pPr>
            <w:r>
              <w:rPr>
                <w:rFonts w:hint="eastAsia" w:ascii="Arial Narrow" w:hAnsi="Arial Narrow" w:cs="宋体"/>
                <w:sz w:val="24"/>
                <w:szCs w:val="24"/>
                <w:highlight w:val="none"/>
              </w:rPr>
              <w:t>单位</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宋体"/>
                <w:sz w:val="24"/>
                <w:szCs w:val="24"/>
                <w:highlight w:val="none"/>
              </w:rPr>
            </w:pPr>
            <w:r>
              <w:rPr>
                <w:rFonts w:hint="eastAsia" w:ascii="Arial Narrow" w:hAnsi="Arial Narrow" w:cs="宋体"/>
                <w:sz w:val="24"/>
                <w:szCs w:val="24"/>
                <w:highlight w:val="none"/>
              </w:rPr>
              <w:t>数量</w:t>
            </w:r>
          </w:p>
        </w:tc>
        <w:tc>
          <w:tcPr>
            <w:tcW w:w="1815" w:type="dxa"/>
            <w:vMerge w:val="continue"/>
            <w:tcBorders>
              <w:left w:val="single" w:color="auto" w:sz="4" w:space="0"/>
              <w:bottom w:val="single" w:color="auto" w:sz="4" w:space="0"/>
              <w:right w:val="single" w:color="auto" w:sz="4" w:space="0"/>
            </w:tcBorders>
            <w:vAlign w:val="center"/>
          </w:tcPr>
          <w:p>
            <w:pPr>
              <w:widowControl/>
              <w:jc w:val="center"/>
              <w:rPr>
                <w:rFonts w:ascii="Arial Narrow" w:hAnsi="Arial Narrow" w:cs="宋体"/>
                <w:sz w:val="24"/>
                <w:szCs w:val="24"/>
                <w:highlight w:val="none"/>
              </w:rPr>
            </w:pPr>
          </w:p>
        </w:tc>
        <w:tc>
          <w:tcPr>
            <w:tcW w:w="1770" w:type="dxa"/>
            <w:vMerge w:val="continue"/>
            <w:tcBorders>
              <w:left w:val="single" w:color="auto" w:sz="4" w:space="0"/>
              <w:bottom w:val="single" w:color="auto" w:sz="4" w:space="0"/>
              <w:right w:val="single" w:color="auto" w:sz="4" w:space="0"/>
            </w:tcBorders>
            <w:vAlign w:val="center"/>
          </w:tcPr>
          <w:p>
            <w:pPr>
              <w:widowControl/>
              <w:jc w:val="center"/>
              <w:rPr>
                <w:rFonts w:ascii="Arial Narrow" w:hAnsi="Arial Narrow"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4"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r>
              <w:rPr>
                <w:rFonts w:ascii="Arial Narrow" w:hAnsi="Arial Narrow" w:cs="Arial Narrow"/>
                <w:sz w:val="24"/>
                <w:szCs w:val="24"/>
                <w:highlight w:val="none"/>
              </w:rPr>
              <w:t>1</w:t>
            </w:r>
          </w:p>
        </w:tc>
        <w:tc>
          <w:tcPr>
            <w:tcW w:w="2796" w:type="dxa"/>
            <w:tcBorders>
              <w:top w:val="single" w:color="auto" w:sz="4" w:space="0"/>
              <w:left w:val="single" w:color="auto" w:sz="4" w:space="0"/>
              <w:bottom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r>
              <w:rPr>
                <w:rFonts w:hint="eastAsia" w:ascii="Arial Narrow" w:hAnsi="Arial Narrow" w:cs="Arial Narrow"/>
                <w:sz w:val="24"/>
                <w:szCs w:val="24"/>
                <w:highlight w:val="none"/>
              </w:rPr>
              <w:t>安装调试工程师1人</w:t>
            </w: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highlight w:val="none"/>
              </w:rPr>
            </w:pPr>
            <w:r>
              <w:rPr>
                <w:rFonts w:hint="eastAsia" w:ascii="Arial Narrow" w:hAnsi="Arial Narrow" w:cs="Arial Narrow"/>
                <w:sz w:val="24"/>
                <w:szCs w:val="24"/>
                <w:highlight w:val="none"/>
              </w:rPr>
              <w:t>工作日</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highlight w:val="none"/>
              </w:rPr>
            </w:pPr>
            <w:r>
              <w:rPr>
                <w:rFonts w:hint="eastAsia" w:ascii="Arial Narrow" w:hAnsi="Arial Narrow" w:cs="Arial Narrow"/>
                <w:sz w:val="24"/>
                <w:szCs w:val="24"/>
                <w:highlight w:val="none"/>
              </w:rPr>
              <w:t>30</w:t>
            </w: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2"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p>
        </w:tc>
        <w:tc>
          <w:tcPr>
            <w:tcW w:w="2796" w:type="dxa"/>
            <w:tcBorders>
              <w:top w:val="single" w:color="auto" w:sz="4" w:space="0"/>
              <w:left w:val="single" w:color="auto" w:sz="4" w:space="0"/>
              <w:bottom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highlight w:val="none"/>
              </w:rPr>
            </w:pP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2"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p>
        </w:tc>
        <w:tc>
          <w:tcPr>
            <w:tcW w:w="2796" w:type="dxa"/>
            <w:tcBorders>
              <w:top w:val="single" w:color="auto" w:sz="4" w:space="0"/>
              <w:left w:val="single" w:color="auto" w:sz="4" w:space="0"/>
              <w:bottom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highlight w:val="none"/>
              </w:rPr>
            </w:pP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4"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p>
        </w:tc>
        <w:tc>
          <w:tcPr>
            <w:tcW w:w="2796" w:type="dxa"/>
            <w:tcBorders>
              <w:top w:val="single" w:color="auto" w:sz="4" w:space="0"/>
              <w:left w:val="single" w:color="auto" w:sz="4" w:space="0"/>
              <w:bottom w:val="single" w:color="auto" w:sz="4" w:space="0"/>
            </w:tcBorders>
            <w:vAlign w:val="center"/>
          </w:tcPr>
          <w:p>
            <w:pPr>
              <w:adjustRightInd w:val="0"/>
              <w:snapToGrid w:val="0"/>
              <w:spacing w:line="240" w:lineRule="atLeast"/>
              <w:jc w:val="center"/>
              <w:rPr>
                <w:rFonts w:ascii="Arial Narrow" w:hAnsi="Arial Narrow" w:cs="Arial Narrow"/>
                <w:sz w:val="24"/>
                <w:szCs w:val="24"/>
                <w:highlight w:val="none"/>
              </w:rPr>
            </w:pP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highlight w:val="none"/>
              </w:rPr>
            </w:pP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9" w:hRule="atLeast"/>
        </w:trPr>
        <w:tc>
          <w:tcPr>
            <w:tcW w:w="5820" w:type="dxa"/>
            <w:gridSpan w:val="4"/>
            <w:tcBorders>
              <w:top w:val="single" w:color="auto" w:sz="4" w:space="0"/>
              <w:left w:val="single" w:color="auto" w:sz="4" w:space="0"/>
              <w:bottom w:val="single" w:color="auto" w:sz="4" w:space="0"/>
            </w:tcBorders>
            <w:vAlign w:val="center"/>
          </w:tcPr>
          <w:p>
            <w:pPr>
              <w:jc w:val="center"/>
              <w:rPr>
                <w:rFonts w:ascii="Arial Narrow" w:hAnsi="Arial Narrow" w:eastAsia="Arial Narrow" w:cs="Arial Narrow"/>
                <w:sz w:val="24"/>
                <w:szCs w:val="24"/>
                <w:highlight w:val="none"/>
              </w:rPr>
            </w:pPr>
            <w:r>
              <w:rPr>
                <w:rFonts w:hint="eastAsia" w:ascii="Arial Narrow" w:cs="宋体"/>
                <w:sz w:val="24"/>
                <w:szCs w:val="24"/>
                <w:highlight w:val="none"/>
              </w:rPr>
              <w:t>合计人民币金额</w:t>
            </w:r>
          </w:p>
        </w:tc>
        <w:tc>
          <w:tcPr>
            <w:tcW w:w="3585" w:type="dxa"/>
            <w:gridSpan w:val="2"/>
            <w:tcBorders>
              <w:top w:val="single" w:color="auto" w:sz="4" w:space="0"/>
              <w:left w:val="single" w:color="auto" w:sz="4" w:space="0"/>
              <w:bottom w:val="single" w:color="auto" w:sz="4" w:space="0"/>
            </w:tcBorders>
            <w:vAlign w:val="center"/>
          </w:tcPr>
          <w:p>
            <w:pPr>
              <w:jc w:val="center"/>
              <w:rPr>
                <w:rFonts w:ascii="Arial Narrow" w:hAnsi="Arial Narrow" w:eastAsia="Arial Narrow" w:cs="Arial Narrow"/>
                <w:sz w:val="24"/>
                <w:szCs w:val="24"/>
                <w:highlight w:val="none"/>
              </w:rPr>
            </w:pPr>
            <w:bookmarkStart w:id="27" w:name="OLE_LINK7"/>
            <w:bookmarkStart w:id="28" w:name="OLE_LINK6"/>
            <w:r>
              <w:rPr>
                <w:rFonts w:hint="eastAsia" w:ascii="Arial Narrow" w:hAnsi="Arial Narrow" w:cs="宋体"/>
                <w:sz w:val="24"/>
                <w:szCs w:val="24"/>
                <w:highlight w:val="none"/>
              </w:rPr>
              <w:t>大写：</w:t>
            </w:r>
            <w:r>
              <w:rPr>
                <w:rFonts w:hint="eastAsia" w:ascii="Arial Narrow" w:hAnsi="宋体" w:cs="宋体"/>
                <w:sz w:val="24"/>
                <w:szCs w:val="24"/>
                <w:highlight w:val="none"/>
              </w:rPr>
              <w:t>元整</w:t>
            </w:r>
            <w:bookmarkEnd w:id="27"/>
            <w:bookmarkEnd w:id="28"/>
          </w:p>
          <w:p>
            <w:pPr>
              <w:jc w:val="center"/>
              <w:rPr>
                <w:rFonts w:ascii="Arial Narrow" w:hAnsi="Arial Narrow" w:eastAsia="Arial Narrow" w:cs="Arial Narrow"/>
                <w:sz w:val="24"/>
                <w:szCs w:val="24"/>
                <w:highlight w:val="none"/>
              </w:rPr>
            </w:pPr>
            <w:r>
              <w:rPr>
                <w:rFonts w:hint="eastAsia" w:ascii="Arial Narrow" w:hAnsi="宋体" w:cs="宋体"/>
                <w:sz w:val="24"/>
                <w:szCs w:val="24"/>
                <w:highlight w:val="none"/>
              </w:rPr>
              <w:t>（小写：元，含税）</w:t>
            </w:r>
          </w:p>
        </w:tc>
      </w:tr>
    </w:tbl>
    <w:p>
      <w:pPr>
        <w:topLinePunct w:val="1"/>
        <w:spacing w:line="400" w:lineRule="exact"/>
        <w:rPr>
          <w:rFonts w:ascii="仿宋_GB2312" w:hAnsi="宋体" w:eastAsia="仿宋_GB2312"/>
          <w:b/>
          <w:bCs/>
          <w:sz w:val="28"/>
          <w:szCs w:val="28"/>
        </w:rPr>
      </w:pPr>
      <w:r>
        <w:rPr>
          <w:rFonts w:hint="eastAsia" w:ascii="Arial Narrow" w:hAnsi="宋体"/>
          <w:sz w:val="24"/>
          <w:szCs w:val="24"/>
        </w:rPr>
        <w:t xml:space="preserve">  4.2本合同总价为人民币：</w:t>
      </w:r>
      <w:r>
        <w:rPr>
          <w:rFonts w:hint="eastAsia" w:ascii="Arial Narrow" w:hAnsi="宋体"/>
          <w:sz w:val="24"/>
          <w:szCs w:val="24"/>
          <w:u w:val="single"/>
        </w:rPr>
        <w:t>小写：   元</w:t>
      </w:r>
      <w:r>
        <w:rPr>
          <w:rFonts w:ascii="Arial Narrow" w:hAnsi="宋体"/>
          <w:sz w:val="24"/>
          <w:szCs w:val="24"/>
          <w:u w:val="single"/>
        </w:rPr>
        <w:t xml:space="preserve"> (</w:t>
      </w:r>
      <w:r>
        <w:rPr>
          <w:rFonts w:hint="eastAsia" w:ascii="Arial Narrow" w:hAnsi="宋体"/>
          <w:sz w:val="24"/>
          <w:szCs w:val="24"/>
          <w:u w:val="single"/>
        </w:rPr>
        <w:t>大写：元整</w:t>
      </w:r>
      <w:r>
        <w:rPr>
          <w:rFonts w:ascii="Arial Narrow" w:hAnsi="宋体"/>
          <w:sz w:val="24"/>
          <w:szCs w:val="24"/>
          <w:u w:val="single"/>
        </w:rPr>
        <w:t>)</w:t>
      </w:r>
      <w:r>
        <w:rPr>
          <w:rFonts w:hint="eastAsia" w:ascii="Arial Narrow" w:hAnsi="宋体"/>
          <w:sz w:val="24"/>
          <w:szCs w:val="24"/>
        </w:rPr>
        <w:t>。合同总价为固定含税价。该合同总金额已包含卖方履行本合同的全部报酬和所需的全部费用。</w:t>
      </w:r>
      <w:r>
        <w:rPr>
          <w:rFonts w:hint="eastAsia"/>
          <w:sz w:val="24"/>
          <w:szCs w:val="24"/>
        </w:rPr>
        <w:t>本合同未单独列明的费用均包含在上述合同总金额中，除服务内容和服务数量发生变化外，合同总金额不得随意更改</w:t>
      </w:r>
      <w:r>
        <w:rPr>
          <w:rFonts w:hint="eastAsia"/>
          <w:sz w:val="24"/>
        </w:rPr>
        <w:t>，在实施阶段不因价格变化、人工费用上涨等因素增调。除该合同总金额外，卖方无权就本合同向买方主张任何其他费用</w:t>
      </w:r>
      <w:r>
        <w:rPr>
          <w:rFonts w:hint="eastAsia"/>
          <w:sz w:val="24"/>
          <w:szCs w:val="24"/>
        </w:rPr>
        <w:t>。若因工程需要导致服务时间数量发生变化，则双方按本合同第4.2条约定的单价标准据实结算。</w:t>
      </w:r>
    </w:p>
    <w:p>
      <w:pPr>
        <w:topLinePunct w:val="1"/>
        <w:spacing w:line="400" w:lineRule="exact"/>
        <w:rPr>
          <w:rFonts w:ascii="Arial Narrow" w:hAnsi="宋体"/>
          <w:sz w:val="24"/>
          <w:szCs w:val="24"/>
        </w:rPr>
      </w:pPr>
      <w:r>
        <w:rPr>
          <w:rFonts w:hint="eastAsia" w:ascii="Arial Narrow" w:hAnsi="宋体"/>
          <w:sz w:val="24"/>
          <w:szCs w:val="24"/>
        </w:rPr>
        <w:t xml:space="preserve">  4.3卖方的服务内容（详见第三章要求）须在4,2条所示的服务时间内完成，卖方没能在服务时间内完成服务内容的，需无偿增加服务时间以完成服务内容，因此给买方造成损失的，由卖方按实际损失赔偿给买方。若因买方原因导致卖方没能在要求的工作时间内完成工作任务的，导致服务时间增加的，</w:t>
      </w:r>
      <w:r>
        <w:rPr>
          <w:rFonts w:hint="eastAsia"/>
          <w:sz w:val="24"/>
          <w:szCs w:val="24"/>
        </w:rPr>
        <w:t>按本合同第4.2条约定的单价标准据实结算</w:t>
      </w:r>
      <w:r>
        <w:rPr>
          <w:rFonts w:hint="eastAsia" w:ascii="Arial Narrow" w:hAnsi="宋体"/>
          <w:sz w:val="24"/>
          <w:szCs w:val="24"/>
        </w:rPr>
        <w:t>。</w:t>
      </w:r>
    </w:p>
    <w:p>
      <w:pPr>
        <w:topLinePunct w:val="1"/>
        <w:spacing w:line="400" w:lineRule="exact"/>
        <w:rPr>
          <w:rFonts w:ascii="Arial Narrow" w:hAnsi="宋体"/>
          <w:sz w:val="24"/>
          <w:szCs w:val="24"/>
        </w:rPr>
      </w:pPr>
      <w:r>
        <w:rPr>
          <w:rFonts w:hint="eastAsia" w:ascii="Arial Narrow" w:hAnsi="宋体"/>
          <w:sz w:val="24"/>
          <w:szCs w:val="24"/>
        </w:rPr>
        <w:t xml:space="preserve"> </w:t>
      </w:r>
      <w:r>
        <w:rPr>
          <w:rFonts w:hint="eastAsia" w:ascii="仿宋_GB2312" w:hAnsi="宋体" w:eastAsia="仿宋_GB2312"/>
          <w:b/>
          <w:bCs/>
          <w:sz w:val="28"/>
          <w:szCs w:val="28"/>
        </w:rPr>
        <w:t xml:space="preserve"> 5.买方向卖方支付技术服务报酬及支付方式</w:t>
      </w:r>
    </w:p>
    <w:p>
      <w:pPr>
        <w:spacing w:line="360" w:lineRule="auto"/>
        <w:rPr>
          <w:rFonts w:ascii="Arial Narrow" w:hAnsi="宋体"/>
          <w:sz w:val="24"/>
          <w:szCs w:val="24"/>
        </w:rPr>
      </w:pPr>
      <w:r>
        <w:rPr>
          <w:rFonts w:hint="eastAsia" w:ascii="Arial Narrow" w:hAnsi="宋体"/>
          <w:sz w:val="24"/>
          <w:szCs w:val="24"/>
        </w:rPr>
        <w:t xml:space="preserve">  5.1全部付款币种为人民币，采用6个月的银行承兑汇票方式支付。</w:t>
      </w:r>
    </w:p>
    <w:p>
      <w:pPr>
        <w:spacing w:line="360" w:lineRule="auto"/>
        <w:rPr>
          <w:rFonts w:ascii="Arial Narrow" w:hAnsi="宋体"/>
          <w:sz w:val="24"/>
          <w:szCs w:val="24"/>
        </w:rPr>
      </w:pPr>
      <w:r>
        <w:rPr>
          <w:rFonts w:hint="eastAsia" w:ascii="Arial Narrow" w:hAnsi="宋体"/>
          <w:sz w:val="24"/>
          <w:szCs w:val="24"/>
        </w:rPr>
        <w:t xml:space="preserve">  5.2合同生效后</w:t>
      </w:r>
      <w:r>
        <w:rPr>
          <w:rFonts w:ascii="Arial Narrow" w:hAnsi="宋体"/>
          <w:sz w:val="24"/>
          <w:szCs w:val="24"/>
        </w:rPr>
        <w:t>15</w:t>
      </w:r>
      <w:r>
        <w:rPr>
          <w:rFonts w:hint="eastAsia" w:ascii="Arial Narrow" w:hAnsi="宋体"/>
          <w:sz w:val="24"/>
          <w:szCs w:val="24"/>
        </w:rPr>
        <w:t>天内支付合同总额</w:t>
      </w:r>
      <w:r>
        <w:rPr>
          <w:rFonts w:ascii="Arial Narrow" w:hAnsi="宋体"/>
          <w:sz w:val="24"/>
          <w:szCs w:val="24"/>
        </w:rPr>
        <w:t>15%</w:t>
      </w:r>
      <w:r>
        <w:rPr>
          <w:rFonts w:hint="eastAsia" w:ascii="Arial Narrow" w:hAnsi="宋体"/>
          <w:sz w:val="24"/>
          <w:szCs w:val="24"/>
        </w:rPr>
        <w:t>的预付款。</w:t>
      </w:r>
    </w:p>
    <w:p>
      <w:pPr>
        <w:spacing w:line="360" w:lineRule="auto"/>
        <w:rPr>
          <w:rFonts w:ascii="Arial Narrow" w:hAnsi="宋体"/>
          <w:sz w:val="24"/>
          <w:szCs w:val="24"/>
        </w:rPr>
      </w:pPr>
      <w:r>
        <w:rPr>
          <w:rFonts w:hint="eastAsia" w:ascii="Arial Narrow" w:hAnsi="宋体"/>
          <w:sz w:val="24"/>
          <w:szCs w:val="24"/>
        </w:rPr>
        <w:t xml:space="preserve">  5.3森德斯及立式卷芯棒全部设备安装验收完成后，支付合同总额45</w:t>
      </w:r>
      <w:r>
        <w:rPr>
          <w:rFonts w:ascii="Arial Narrow" w:hAnsi="宋体"/>
          <w:sz w:val="24"/>
          <w:szCs w:val="24"/>
        </w:rPr>
        <w:t>%</w:t>
      </w:r>
      <w:r>
        <w:rPr>
          <w:rFonts w:hint="eastAsia" w:ascii="Arial Narrow" w:hAnsi="宋体"/>
          <w:sz w:val="24"/>
          <w:szCs w:val="24"/>
        </w:rPr>
        <w:t>的进度款。</w:t>
      </w:r>
    </w:p>
    <w:p>
      <w:pPr>
        <w:spacing w:line="360" w:lineRule="auto"/>
        <w:rPr>
          <w:rFonts w:ascii="Arial Narrow" w:hAnsi="宋体"/>
          <w:sz w:val="24"/>
          <w:szCs w:val="24"/>
        </w:rPr>
      </w:pPr>
      <w:r>
        <w:rPr>
          <w:rFonts w:hint="eastAsia" w:ascii="Arial Narrow" w:hAnsi="宋体"/>
          <w:sz w:val="24"/>
          <w:szCs w:val="24"/>
        </w:rPr>
        <w:t xml:space="preserve">  5.4森德斯及立式卷芯棒全部设备安装调试合格且稳定运行一个月后，支付合同总额</w:t>
      </w:r>
      <w:r>
        <w:rPr>
          <w:rFonts w:ascii="Arial Narrow" w:hAnsi="宋体"/>
          <w:sz w:val="24"/>
          <w:szCs w:val="24"/>
        </w:rPr>
        <w:t>30%</w:t>
      </w:r>
      <w:r>
        <w:rPr>
          <w:rFonts w:hint="eastAsia" w:ascii="Arial Narrow" w:hAnsi="宋体"/>
          <w:sz w:val="24"/>
          <w:szCs w:val="24"/>
        </w:rPr>
        <w:t>的验收款。</w:t>
      </w:r>
    </w:p>
    <w:p>
      <w:pPr>
        <w:spacing w:line="360" w:lineRule="auto"/>
        <w:rPr>
          <w:rFonts w:ascii="Arial Narrow" w:hAnsi="宋体"/>
          <w:sz w:val="24"/>
          <w:szCs w:val="24"/>
        </w:rPr>
      </w:pPr>
      <w:r>
        <w:rPr>
          <w:rFonts w:hint="eastAsia" w:ascii="Arial Narrow" w:hAnsi="宋体"/>
          <w:sz w:val="24"/>
          <w:szCs w:val="24"/>
        </w:rPr>
        <w:t xml:space="preserve">  5.5合同</w:t>
      </w:r>
      <w:r>
        <w:rPr>
          <w:rFonts w:hint="eastAsia" w:ascii="宋体" w:hAnsi="宋体"/>
          <w:sz w:val="24"/>
          <w:szCs w:val="24"/>
        </w:rPr>
        <w:t>质保金为合同总价的10%，为森德斯</w:t>
      </w:r>
      <w:r>
        <w:rPr>
          <w:rFonts w:hint="eastAsia" w:ascii="Arial Narrow" w:hAnsi="宋体"/>
          <w:sz w:val="24"/>
          <w:szCs w:val="24"/>
        </w:rPr>
        <w:t>及立式卷芯棒</w:t>
      </w:r>
      <w:r>
        <w:rPr>
          <w:rFonts w:hint="eastAsia" w:ascii="宋体" w:hAnsi="宋体"/>
          <w:sz w:val="24"/>
          <w:szCs w:val="24"/>
        </w:rPr>
        <w:t>全部设备安装调试验收合格之日起一年，质保期到期无服务质量异议且卖方合格履行合同义务后，一次性无息付清</w:t>
      </w:r>
      <w:r>
        <w:rPr>
          <w:rFonts w:hint="eastAsia" w:ascii="Arial Narrow" w:hAnsi="宋体"/>
          <w:sz w:val="24"/>
          <w:szCs w:val="24"/>
        </w:rPr>
        <w:t>。质保期间如发现服务质量有缺陷的，卖方应负责无偿修正、返工。</w:t>
      </w:r>
    </w:p>
    <w:p>
      <w:pPr>
        <w:spacing w:line="360" w:lineRule="auto"/>
        <w:rPr>
          <w:rFonts w:ascii="Arial Narrow" w:hAnsi="宋体"/>
          <w:sz w:val="24"/>
          <w:szCs w:val="24"/>
        </w:rPr>
      </w:pPr>
      <w:r>
        <w:rPr>
          <w:rFonts w:hint="eastAsia" w:ascii="Arial Narrow" w:hAnsi="宋体"/>
          <w:sz w:val="24"/>
          <w:szCs w:val="24"/>
        </w:rPr>
        <w:t xml:space="preserve">  5.6根据本合同约定卖方应当支付违约金和/或承担赔偿责任，则买方有权从上述任何一笔付款中直接扣除相应金额。</w:t>
      </w:r>
    </w:p>
    <w:p>
      <w:pPr>
        <w:spacing w:line="360" w:lineRule="auto"/>
        <w:rPr>
          <w:rFonts w:ascii="Arial Narrow" w:hAnsi="宋体"/>
          <w:sz w:val="24"/>
          <w:szCs w:val="24"/>
        </w:rPr>
      </w:pPr>
      <w:r>
        <w:rPr>
          <w:rFonts w:hint="eastAsia" w:ascii="Arial Narrow" w:hAnsi="宋体"/>
          <w:sz w:val="24"/>
          <w:szCs w:val="24"/>
        </w:rPr>
        <w:t xml:space="preserve">  5.7在满足合同付款的条件下，卖方应在买方付款前</w:t>
      </w:r>
      <w:r>
        <w:rPr>
          <w:rFonts w:ascii="Arial Narrow" w:hAnsi="宋体"/>
          <w:sz w:val="24"/>
          <w:szCs w:val="24"/>
        </w:rPr>
        <w:t>10</w:t>
      </w:r>
      <w:r>
        <w:rPr>
          <w:rFonts w:hint="eastAsia" w:ascii="Arial Narrow" w:hAnsi="宋体"/>
          <w:sz w:val="24"/>
          <w:szCs w:val="24"/>
        </w:rPr>
        <w:t xml:space="preserve">日向买方提供符合国家规定的合格税务发票，经买方审核无误后付款。如卖方未向买方提供前述发票的，买方有权不予付款且不构成违约责任，卖方不得以此为由拒绝或迟延履行本合同项下的其他义务。  </w:t>
      </w:r>
    </w:p>
    <w:p>
      <w:pPr>
        <w:pStyle w:val="17"/>
        <w:tabs>
          <w:tab w:val="left" w:pos="7980"/>
        </w:tabs>
        <w:spacing w:line="440" w:lineRule="exact"/>
        <w:jc w:val="left"/>
        <w:rPr>
          <w:rFonts w:ascii="仿宋_GB2312" w:hAnsi="仿宋"/>
          <w:b/>
          <w:sz w:val="28"/>
          <w:szCs w:val="28"/>
        </w:rPr>
      </w:pPr>
      <w:r>
        <w:rPr>
          <w:rFonts w:hint="eastAsia" w:ascii="仿宋_GB2312" w:hAnsi="仿宋"/>
          <w:b/>
          <w:sz w:val="28"/>
          <w:szCs w:val="28"/>
        </w:rPr>
        <w:t xml:space="preserve"> 6</w:t>
      </w:r>
      <w:r>
        <w:rPr>
          <w:rFonts w:hint="eastAsia" w:ascii="仿宋_GB2312" w:hAnsi="宋体" w:eastAsia="仿宋_GB2312"/>
          <w:b/>
          <w:bCs/>
          <w:sz w:val="28"/>
          <w:szCs w:val="28"/>
        </w:rPr>
        <w:t>. 保密</w:t>
      </w:r>
    </w:p>
    <w:p>
      <w:pPr>
        <w:topLinePunct w:val="1"/>
        <w:spacing w:line="400" w:lineRule="exact"/>
        <w:rPr>
          <w:rFonts w:ascii="Arial Narrow" w:hAnsi="宋体"/>
          <w:sz w:val="24"/>
          <w:szCs w:val="24"/>
        </w:rPr>
      </w:pPr>
      <w:r>
        <w:rPr>
          <w:rFonts w:hint="eastAsia" w:ascii="Arial Narrow" w:hAnsi="宋体"/>
          <w:sz w:val="24"/>
          <w:szCs w:val="24"/>
        </w:rPr>
        <w:t xml:space="preserve">    6.1卖方对买方所提供的所有资料以及在本合同签订、履行过程中所接触到的买方及其关联公司的商业秘密、技术资料、客户信息等资料和信息(统称“保密资料”)负有保密义务。未经买方书面许可，卖方不得向任何第三方披露，不得将保密资料的部分或全部用于本合同约定事项以外的其他用途。卖方有义务对保密资料采取不低于对其本身商业秘密所采取的保护手段予以保护。卖方可仅为本合同目的向其内部有知悉保密资料必要的雇员披露保密资料，但同时须指示其雇员遵守本条规定的保密及不披露义务。</w:t>
      </w:r>
    </w:p>
    <w:p>
      <w:pPr>
        <w:topLinePunct w:val="1"/>
        <w:spacing w:line="400" w:lineRule="exact"/>
        <w:rPr>
          <w:rFonts w:ascii="Arial Narrow" w:hAnsi="宋体"/>
          <w:sz w:val="24"/>
          <w:szCs w:val="24"/>
        </w:rPr>
      </w:pPr>
      <w:r>
        <w:rPr>
          <w:rFonts w:hint="eastAsia" w:ascii="Arial Narrow" w:hAnsi="宋体"/>
          <w:sz w:val="24"/>
          <w:szCs w:val="24"/>
        </w:rPr>
        <w:t xml:space="preserve">    6.2卖方仅得为履行本合同之目的对保密资料进行复制。卖方不得以任何方式（如软硬盘、图纸、彩样、照片、菲林、光盘等）留存保密资料。卖方应当在完成委托事项或本合同终止或解除时将保密资料原件全部返还买方，并销毁所有复制件。卖方应当妥善保管保密资料，并对保密资料在卖方期间发生的被盗、泄露或其他有损保密资料保密性的事件承担全部责任，因此造成买方损失的，卖方应负责赔偿。</w:t>
      </w:r>
    </w:p>
    <w:p>
      <w:pPr>
        <w:topLinePunct w:val="1"/>
        <w:spacing w:line="400" w:lineRule="exact"/>
        <w:rPr>
          <w:rFonts w:ascii="Arial Narrow" w:hAnsi="宋体"/>
          <w:sz w:val="24"/>
          <w:szCs w:val="24"/>
        </w:rPr>
      </w:pPr>
      <w:r>
        <w:rPr>
          <w:rFonts w:hint="eastAsia" w:ascii="Arial Narrow" w:hAnsi="宋体"/>
          <w:sz w:val="24"/>
          <w:szCs w:val="24"/>
        </w:rPr>
        <w:t xml:space="preserve">    6.3 当出现下述情况时，本条对保密资料的限制不适用。当保密资料：</w:t>
      </w:r>
    </w:p>
    <w:p>
      <w:pPr>
        <w:topLinePunct w:val="1"/>
        <w:spacing w:line="400" w:lineRule="exact"/>
        <w:rPr>
          <w:rFonts w:ascii="Arial Narrow" w:hAnsi="宋体"/>
          <w:sz w:val="24"/>
          <w:szCs w:val="24"/>
        </w:rPr>
      </w:pPr>
      <w:r>
        <w:rPr>
          <w:rFonts w:hint="eastAsia" w:ascii="Arial Narrow" w:hAnsi="宋体"/>
          <w:sz w:val="24"/>
          <w:szCs w:val="24"/>
        </w:rPr>
        <w:t xml:space="preserve">   （1）并非卖方的过错而已经进入公有领域的。</w:t>
      </w:r>
    </w:p>
    <w:p>
      <w:pPr>
        <w:topLinePunct w:val="1"/>
        <w:spacing w:line="400" w:lineRule="exact"/>
        <w:rPr>
          <w:rFonts w:ascii="Arial Narrow" w:hAnsi="宋体"/>
          <w:sz w:val="24"/>
          <w:szCs w:val="24"/>
        </w:rPr>
      </w:pPr>
      <w:r>
        <w:rPr>
          <w:rFonts w:hint="eastAsia" w:ascii="Arial Narrow" w:hAnsi="宋体"/>
          <w:sz w:val="24"/>
          <w:szCs w:val="24"/>
        </w:rPr>
        <w:t xml:space="preserve">   （2）已通过该方的有关记录证明是由卖方独立开发的。</w:t>
      </w:r>
    </w:p>
    <w:p>
      <w:pPr>
        <w:topLinePunct w:val="1"/>
        <w:spacing w:line="400" w:lineRule="exact"/>
        <w:rPr>
          <w:rFonts w:ascii="Arial Narrow" w:hAnsi="宋体"/>
          <w:sz w:val="24"/>
          <w:szCs w:val="24"/>
        </w:rPr>
      </w:pPr>
      <w:r>
        <w:rPr>
          <w:rFonts w:hint="eastAsia" w:ascii="Arial Narrow" w:hAnsi="宋体"/>
          <w:sz w:val="24"/>
          <w:szCs w:val="24"/>
        </w:rPr>
        <w:t xml:space="preserve">   （3）由卖方从没有违反对买方的保密义务的人合法取得的。</w:t>
      </w:r>
    </w:p>
    <w:p>
      <w:pPr>
        <w:topLinePunct w:val="1"/>
        <w:spacing w:line="400" w:lineRule="exact"/>
        <w:rPr>
          <w:rFonts w:ascii="Arial Narrow" w:hAnsi="宋体"/>
          <w:sz w:val="24"/>
          <w:szCs w:val="24"/>
        </w:rPr>
      </w:pPr>
      <w:r>
        <w:rPr>
          <w:rFonts w:hint="eastAsia" w:ascii="Arial Narrow" w:hAnsi="宋体"/>
          <w:sz w:val="24"/>
          <w:szCs w:val="24"/>
        </w:rPr>
        <w:t xml:space="preserve">   （4）法律要求卖方披露的，但卖方应在合理的时间提前通知买方，使其得以采取其认为必要的保护措施。</w:t>
      </w:r>
    </w:p>
    <w:p>
      <w:pPr>
        <w:topLinePunct w:val="1"/>
        <w:spacing w:line="400" w:lineRule="exact"/>
        <w:rPr>
          <w:rFonts w:ascii="Arial Narrow" w:hAnsi="宋体"/>
          <w:sz w:val="24"/>
          <w:szCs w:val="24"/>
        </w:rPr>
      </w:pPr>
      <w:r>
        <w:rPr>
          <w:rFonts w:hint="eastAsia" w:ascii="Arial Narrow" w:hAnsi="宋体"/>
          <w:sz w:val="24"/>
          <w:szCs w:val="24"/>
        </w:rPr>
        <w:t xml:space="preserve">    6.4如卖方违反本合同关于保密的约定，卖方应赔偿因此而给买方造成的一切损失。</w:t>
      </w:r>
    </w:p>
    <w:p>
      <w:pPr>
        <w:topLinePunct w:val="1"/>
        <w:spacing w:line="400" w:lineRule="exact"/>
        <w:ind w:firstLine="480" w:firstLineChars="200"/>
        <w:rPr>
          <w:rFonts w:ascii="Arial Narrow" w:hAnsi="宋体"/>
          <w:sz w:val="24"/>
          <w:szCs w:val="24"/>
        </w:rPr>
      </w:pPr>
      <w:r>
        <w:rPr>
          <w:rFonts w:hint="eastAsia" w:ascii="Arial Narrow" w:hAnsi="宋体"/>
          <w:sz w:val="24"/>
          <w:szCs w:val="24"/>
        </w:rPr>
        <w:t>6.5本保密条款自保密资料提供或披露之日起至本合同终止或解除后 两年内持续有效。</w:t>
      </w:r>
    </w:p>
    <w:p>
      <w:pPr>
        <w:topLinePunct w:val="1"/>
        <w:spacing w:line="400" w:lineRule="exact"/>
        <w:rPr>
          <w:rFonts w:ascii="仿宋_GB2312" w:hAnsi="宋体" w:eastAsia="仿宋_GB2312"/>
          <w:b/>
          <w:bCs/>
          <w:sz w:val="28"/>
          <w:szCs w:val="28"/>
        </w:rPr>
      </w:pPr>
      <w:r>
        <w:rPr>
          <w:rFonts w:hint="eastAsia" w:ascii="仿宋_GB2312" w:hAnsi="宋体" w:eastAsia="仿宋_GB2312"/>
          <w:b/>
          <w:bCs/>
          <w:sz w:val="28"/>
          <w:szCs w:val="28"/>
        </w:rPr>
        <w:t xml:space="preserve">   7. 侵权处理</w:t>
      </w:r>
    </w:p>
    <w:p>
      <w:pPr>
        <w:topLinePunct w:val="1"/>
        <w:spacing w:line="400" w:lineRule="exact"/>
        <w:rPr>
          <w:rFonts w:ascii="Arial Narrow" w:hAnsi="宋体"/>
          <w:sz w:val="24"/>
          <w:szCs w:val="24"/>
        </w:rPr>
      </w:pPr>
      <w:r>
        <w:rPr>
          <w:rFonts w:hint="eastAsia" w:ascii="Arial Narrow" w:hAnsi="宋体"/>
          <w:sz w:val="24"/>
          <w:szCs w:val="24"/>
        </w:rPr>
        <w:t xml:space="preserve">    7.1卖方应当保证，其依本合同为买方提供技术服务过程中和/或其为买方提供的服务成果不侵犯任何第三人的合法权益。如果有人提出法律或行政程序(合称“侵权指控”)，声称买方侵犯了其知识产权等合法权益的，卖方应当负责解决，并赔偿买方就此所承担的一切损失和费用，包括但不限于上述侵权指控中所产生的诉讼费用、合理的律师费用、调查费用、和解金额或生效法律文书中规定的赔偿金额。</w:t>
      </w:r>
    </w:p>
    <w:p>
      <w:pPr>
        <w:topLinePunct w:val="1"/>
        <w:spacing w:line="400" w:lineRule="exact"/>
        <w:rPr>
          <w:rFonts w:ascii="Arial Narrow" w:hAnsi="宋体"/>
          <w:sz w:val="24"/>
          <w:szCs w:val="24"/>
        </w:rPr>
      </w:pPr>
      <w:r>
        <w:rPr>
          <w:rFonts w:hint="eastAsia" w:ascii="Arial Narrow" w:hAnsi="宋体"/>
          <w:sz w:val="24"/>
          <w:szCs w:val="24"/>
        </w:rPr>
        <w:t xml:space="preserve">    7.2如果在侵权指控的审理过程中有关机关禁止买方继续使用技术服务成果的部分或全部，卖方应当采取以下措施之一：</w:t>
      </w:r>
    </w:p>
    <w:p>
      <w:pPr>
        <w:topLinePunct w:val="1"/>
        <w:spacing w:line="400" w:lineRule="exact"/>
        <w:rPr>
          <w:rFonts w:ascii="Arial Narrow" w:hAnsi="宋体"/>
          <w:sz w:val="24"/>
          <w:szCs w:val="24"/>
        </w:rPr>
      </w:pPr>
      <w:r>
        <w:rPr>
          <w:rFonts w:hint="eastAsia" w:ascii="Arial Narrow" w:hAnsi="宋体"/>
          <w:sz w:val="24"/>
          <w:szCs w:val="24"/>
        </w:rPr>
        <w:t xml:space="preserve">    （1）使买方重新免费获得使用上述技术服务成果的权利，</w:t>
      </w:r>
    </w:p>
    <w:p>
      <w:pPr>
        <w:topLinePunct w:val="1"/>
        <w:spacing w:line="400" w:lineRule="exact"/>
        <w:rPr>
          <w:rFonts w:ascii="Arial Narrow" w:hAnsi="宋体"/>
          <w:sz w:val="24"/>
          <w:szCs w:val="24"/>
        </w:rPr>
      </w:pPr>
      <w:r>
        <w:rPr>
          <w:rFonts w:hint="eastAsia" w:ascii="Arial Narrow" w:hAnsi="宋体"/>
          <w:sz w:val="24"/>
          <w:szCs w:val="24"/>
        </w:rPr>
        <w:t xml:space="preserve">    （2）免费更换或改造上述技术服务成果，使买方不受上述禁令限制继续使用技术服务成果。</w:t>
      </w:r>
    </w:p>
    <w:p>
      <w:pPr>
        <w:topLinePunct w:val="1"/>
        <w:spacing w:line="400" w:lineRule="exact"/>
        <w:rPr>
          <w:rFonts w:ascii="Arial Narrow" w:hAnsi="宋体"/>
          <w:sz w:val="24"/>
          <w:szCs w:val="24"/>
        </w:rPr>
      </w:pPr>
      <w:r>
        <w:rPr>
          <w:rFonts w:hint="eastAsia" w:ascii="Arial Narrow" w:hAnsi="宋体"/>
          <w:sz w:val="24"/>
          <w:szCs w:val="24"/>
        </w:rPr>
        <w:t xml:space="preserve">    （3）其它使买方对技术服务成果拥有合法使用权，或其它弥补买方受损利益、实现合同目的的合理方式。</w:t>
      </w:r>
    </w:p>
    <w:p>
      <w:pPr>
        <w:topLinePunct w:val="1"/>
        <w:spacing w:line="400" w:lineRule="exact"/>
        <w:rPr>
          <w:rFonts w:ascii="Arial Narrow" w:hAnsi="宋体"/>
          <w:sz w:val="24"/>
          <w:szCs w:val="24"/>
        </w:rPr>
      </w:pPr>
      <w:r>
        <w:rPr>
          <w:rFonts w:hint="eastAsia" w:ascii="Arial Narrow" w:hAnsi="宋体"/>
          <w:sz w:val="24"/>
          <w:szCs w:val="24"/>
        </w:rPr>
        <w:t xml:space="preserve">     卖方采取上述措施不能免除卖方就买方因此遭受的损失进行赔偿的义务。</w:t>
      </w:r>
    </w:p>
    <w:p>
      <w:pPr>
        <w:pStyle w:val="17"/>
        <w:tabs>
          <w:tab w:val="left" w:pos="7980"/>
        </w:tabs>
        <w:spacing w:line="440" w:lineRule="exact"/>
        <w:jc w:val="left"/>
        <w:rPr>
          <w:rFonts w:ascii="仿宋_GB2312" w:hAnsi="仿宋"/>
          <w:sz w:val="28"/>
          <w:szCs w:val="28"/>
        </w:rPr>
      </w:pPr>
      <w:r>
        <w:rPr>
          <w:rFonts w:hint="eastAsia" w:ascii="仿宋_GB2312" w:hAnsi="仿宋"/>
          <w:b/>
          <w:sz w:val="28"/>
          <w:szCs w:val="28"/>
        </w:rPr>
        <w:t xml:space="preserve"> 8.对卖方的技术服务工作成果的验收及工作成果的权利归属</w:t>
      </w:r>
    </w:p>
    <w:p>
      <w:pPr>
        <w:pStyle w:val="17"/>
        <w:spacing w:line="440" w:lineRule="exact"/>
        <w:ind w:left="0" w:leftChars="0" w:firstLine="360" w:firstLineChars="150"/>
        <w:jc w:val="left"/>
        <w:rPr>
          <w:rFonts w:ascii="Arial Narrow" w:hAnsi="宋体"/>
          <w:sz w:val="24"/>
          <w:szCs w:val="24"/>
        </w:rPr>
      </w:pPr>
      <w:r>
        <w:rPr>
          <w:rFonts w:hint="eastAsia" w:ascii="Arial Narrow" w:hAnsi="宋体"/>
          <w:sz w:val="24"/>
          <w:szCs w:val="24"/>
        </w:rPr>
        <w:t xml:space="preserve"> 8.1技术服务工作成果的验收标准：本合同和双方签订技术协议中相关约定及原4#高线工程建设时与森德斯公司签订的技术协议（附件）的相关要求。</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8.2双方确定，卖方所完成的服务成果的所有权利，包括但不限于知识产权、专利申请权和所有权，归买方所有。</w:t>
      </w:r>
    </w:p>
    <w:p>
      <w:pPr>
        <w:pStyle w:val="17"/>
        <w:spacing w:line="440" w:lineRule="exact"/>
        <w:ind w:left="0" w:leftChars="0" w:firstLine="360" w:firstLineChars="150"/>
        <w:jc w:val="left"/>
        <w:rPr>
          <w:rFonts w:ascii="Arial Narrow" w:hAnsi="宋体"/>
          <w:sz w:val="24"/>
          <w:szCs w:val="24"/>
        </w:rPr>
      </w:pPr>
      <w:r>
        <w:rPr>
          <w:rFonts w:hint="eastAsia" w:ascii="Arial Narrow" w:hAnsi="宋体"/>
          <w:sz w:val="24"/>
          <w:szCs w:val="24"/>
        </w:rPr>
        <w:t>8.3双方确定，买方利用卖方的服务成果所完成的新的技术成果的所有权利，包括但不限于知识产权、专利申请权和所有权，归买方所有。</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8.4双方确定，卖方在向买方提供服务过程中，根据买方要求，为买方指定的人员提供免费技术指导和培训。</w:t>
      </w:r>
    </w:p>
    <w:p>
      <w:pPr>
        <w:topLinePunct w:val="1"/>
        <w:spacing w:line="400" w:lineRule="exact"/>
        <w:rPr>
          <w:rFonts w:ascii="仿宋_GB2312" w:hAnsi="宋体" w:eastAsia="仿宋_GB2312"/>
          <w:b/>
          <w:bCs/>
          <w:sz w:val="28"/>
          <w:szCs w:val="28"/>
        </w:rPr>
      </w:pPr>
      <w:bookmarkStart w:id="29" w:name="_Toc37665086"/>
      <w:bookmarkStart w:id="30" w:name="_Toc37575003"/>
      <w:r>
        <w:rPr>
          <w:rFonts w:hint="eastAsia" w:ascii="仿宋_GB2312" w:hAnsi="宋体" w:eastAsia="仿宋_GB2312"/>
          <w:b/>
          <w:bCs/>
          <w:sz w:val="28"/>
          <w:szCs w:val="28"/>
        </w:rPr>
        <w:t xml:space="preserve">  9.不可抗力</w:t>
      </w:r>
      <w:bookmarkEnd w:id="29"/>
      <w:bookmarkEnd w:id="30"/>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9.1下列事件可认为是不可抗力事件：战争、动乱、地震、飓风、洪水等不能预见、不能避免并不能克服的客观情况；</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9.2由于不可抗力事件致使一方当事人不能履行本合同的，受不可抗力影响方应立即通知另一方当事人，采取积极措施减少不可抗力造成的损失，并在不可抗力发生后7日内向另一方当事人提供发生不可抗力的证明。</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9.3由于不可抗拒的原因，致使合同无法按期履行或不能履行的，所造成的损失由双方各自承担。受不可抗力影响一方未履行通知义务，和/或任一方未积极采取减损措施，致使损失扩大的，该方应就扩大的损失向另一方承担赔偿责任。不可抗力事件结束或其影响消除后，如本合同目的仍可实现，双方应立即继续履行合同义务，合同有效期和/或合同有关执行期间应相应延长。</w:t>
      </w:r>
    </w:p>
    <w:p>
      <w:pPr>
        <w:topLinePunct w:val="1"/>
        <w:spacing w:line="400" w:lineRule="exact"/>
        <w:rPr>
          <w:rFonts w:ascii="仿宋_GB2312" w:hAnsi="宋体" w:eastAsia="仿宋_GB2312"/>
          <w:b/>
          <w:bCs/>
          <w:sz w:val="28"/>
          <w:szCs w:val="28"/>
        </w:rPr>
      </w:pPr>
      <w:r>
        <w:rPr>
          <w:rFonts w:hint="eastAsia" w:ascii="仿宋_GB2312" w:hAnsi="宋体" w:eastAsia="仿宋_GB2312"/>
          <w:b/>
          <w:bCs/>
          <w:sz w:val="28"/>
          <w:szCs w:val="28"/>
        </w:rPr>
        <w:t xml:space="preserve">  10.双方的权利和义务</w:t>
      </w:r>
    </w:p>
    <w:p>
      <w:pPr>
        <w:pStyle w:val="17"/>
        <w:spacing w:line="440" w:lineRule="exact"/>
        <w:ind w:left="0" w:leftChars="0"/>
        <w:jc w:val="left"/>
        <w:rPr>
          <w:rFonts w:ascii="Arial Narrow" w:hAnsi="宋体"/>
          <w:sz w:val="24"/>
          <w:szCs w:val="24"/>
        </w:rPr>
      </w:pPr>
      <w:r>
        <w:rPr>
          <w:rFonts w:hint="eastAsia" w:ascii="Arial Narrow" w:hAnsi="宋体"/>
          <w:sz w:val="24"/>
          <w:szCs w:val="24"/>
        </w:rPr>
        <w:t>除本合同其他条款约定的权利、义务外，双方约定如下：</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10.1买方权利</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（1）有权要求卖方按照本合同约定提交技术服务成果；</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（2）有权随时对卖方的服务进行监督检查；</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（3）有权要求卖方对其服务过程中存在的问题进行整改；</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（4）有权要求卖方提供相关的技术资料和必要的技术指导；</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10.2买方义务</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（1）在合同生效后</w:t>
      </w:r>
      <w:r>
        <w:rPr>
          <w:rFonts w:ascii="Arial Narrow" w:hAnsi="宋体"/>
          <w:sz w:val="24"/>
          <w:szCs w:val="24"/>
        </w:rPr>
        <w:t>2</w:t>
      </w:r>
      <w:r>
        <w:rPr>
          <w:rFonts w:hint="eastAsia" w:ascii="Arial Narrow" w:hAnsi="宋体"/>
          <w:sz w:val="24"/>
          <w:szCs w:val="24"/>
        </w:rPr>
        <w:t>日内向卖方提供需要由买方准备的资料清单；</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（2）向卖方提供早晚的酒店与工地间的车辆交通及中午的食堂工作餐；</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（3）按约定向卖方支付报酬；</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（4）按约定验收项目成果。</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10.3卖方权利</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（1）接受买方提供的技术资料、数据、材料等；</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（2）交付符合本合同要求的工作成果后获得报酬；</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3）发现买方提供的技术资料、数据、样品、材料或工作条件不符合合同约定时，有权在接到上述资料2日内，通知买方改进或者更换。超过上述期限不提出改进或更换要求的，视为买方提供的资料和工作条件已符合合同约定。</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10.4卖方的义务</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（1）卖方应按约定亲自完成技术服务工作，未经买方书面同意擅自转委托给第三方的，买方有权拒付报酬并单方解除本合同；</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（2）对买方交予的技术资料妥善保管；在合同履行过程中，如发现继续工作对材料、设备等有损坏危险时，应中止工作，并及时通知买方；</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（3）卖方在进入买方工厂时，须遵守买方厂规厂纪，如因违反买方厂规厂纪造成卖方损失，责任由卖方自行承担。</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（4）项目验收后，向买方传授与该项目相关的技术知识，提供相关的技术资料和必要的技术指导。</w:t>
      </w:r>
    </w:p>
    <w:p>
      <w:pPr>
        <w:pStyle w:val="17"/>
        <w:tabs>
          <w:tab w:val="left" w:pos="7980"/>
        </w:tabs>
        <w:spacing w:line="440" w:lineRule="exact"/>
        <w:jc w:val="left"/>
        <w:rPr>
          <w:rFonts w:ascii="仿宋_GB2312" w:hAnsi="仿宋"/>
          <w:sz w:val="28"/>
          <w:szCs w:val="28"/>
        </w:rPr>
      </w:pPr>
      <w:bookmarkStart w:id="31" w:name="_Toc37665088"/>
      <w:bookmarkStart w:id="32" w:name="_Toc37575005"/>
      <w:r>
        <w:rPr>
          <w:rFonts w:hint="eastAsia" w:ascii="仿宋_GB2312" w:hAnsi="宋体" w:eastAsia="仿宋_GB2312"/>
          <w:b/>
          <w:bCs/>
          <w:sz w:val="28"/>
          <w:szCs w:val="28"/>
        </w:rPr>
        <w:t>11. 违约责任</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11.1双方确定，任何一方未履行或未完全履行本合同项下的义务，均构成违约。违约方应赔偿因违约给对方造成的一切损失。</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11.2卖方未能按本合同约定按期提供技术服务的，每逾期 1日，卖方应当按照合同总额的 1%向买方支付违约金。如违约金数额累计达到合同总额的30 %时，买方有权终止本合同，卖方仍应支付上述违约金、退还买方已支付款项并按照同期中国人民银行贷款利率计付利息，同时赔偿买方的相应损失。</w:t>
      </w:r>
    </w:p>
    <w:p>
      <w:pPr>
        <w:pStyle w:val="17"/>
        <w:spacing w:line="440" w:lineRule="exact"/>
        <w:ind w:left="0" w:leftChars="0" w:firstLine="420" w:firstLineChars="175"/>
        <w:jc w:val="left"/>
        <w:rPr>
          <w:rFonts w:ascii="仿宋_GB2312" w:hAnsi="仿宋" w:eastAsia="仿宋_GB2312"/>
          <w:sz w:val="28"/>
          <w:szCs w:val="28"/>
        </w:rPr>
      </w:pPr>
      <w:r>
        <w:rPr>
          <w:rFonts w:hint="eastAsia" w:ascii="Arial Narrow" w:hAnsi="宋体"/>
          <w:sz w:val="24"/>
          <w:szCs w:val="24"/>
        </w:rPr>
        <w:t>11.3卖方提供技术服务不符合本合同要求的，卖方应当按照买方要求更正和修改，并承担由此产生的全部费用。同时，买方有权终止本合同，卖方应当退还买方已支付款项并按照同期中国人民银行贷款利率计付利息，并赔偿买方的相应损失。</w:t>
      </w:r>
      <w:r>
        <w:rPr>
          <w:rFonts w:hint="eastAsia" w:ascii="仿宋_GB2312" w:hAnsi="仿宋" w:eastAsia="仿宋_GB2312"/>
          <w:sz w:val="28"/>
          <w:szCs w:val="28"/>
        </w:rPr>
        <w:t xml:space="preserve"> </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13.6</w:t>
      </w:r>
      <w:r>
        <w:rPr>
          <w:rFonts w:hint="eastAsia" w:ascii="Arial Narrow" w:hAnsi="宋体"/>
          <w:sz w:val="24"/>
          <w:szCs w:val="24"/>
        </w:rPr>
        <w:t>因卖方的原因导致买方解除合同或卖方擅自解除合同的，卖方除无权向买方主张任何未付款项、履约保证金不予退还且应在合同解除后</w:t>
      </w:r>
      <w:r>
        <w:rPr>
          <w:rFonts w:ascii="Arial Narrow" w:hAnsi="宋体"/>
          <w:sz w:val="24"/>
          <w:szCs w:val="24"/>
        </w:rPr>
        <w:t>5</w:t>
      </w:r>
      <w:r>
        <w:rPr>
          <w:rFonts w:hint="eastAsia" w:ascii="Arial Narrow" w:hAnsi="宋体"/>
          <w:sz w:val="24"/>
          <w:szCs w:val="24"/>
        </w:rPr>
        <w:t>日内退还买方全部已付款外，还应当另行向买方支付合同总价</w:t>
      </w:r>
      <w:r>
        <w:rPr>
          <w:rFonts w:ascii="Arial Narrow" w:hAnsi="宋体"/>
          <w:sz w:val="24"/>
          <w:szCs w:val="24"/>
        </w:rPr>
        <w:t>10%</w:t>
      </w:r>
      <w:r>
        <w:rPr>
          <w:rFonts w:hint="eastAsia" w:ascii="Arial Narrow" w:hAnsi="宋体"/>
          <w:sz w:val="24"/>
          <w:szCs w:val="24"/>
        </w:rPr>
        <w:t>的违约金，并另行据实赔偿买方的损失。</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13.7</w:t>
      </w:r>
      <w:r>
        <w:rPr>
          <w:rFonts w:hint="eastAsia" w:ascii="Arial Narrow" w:hAnsi="宋体"/>
          <w:sz w:val="24"/>
          <w:szCs w:val="24"/>
        </w:rPr>
        <w:t>卖方违约，除应当按照合同约定承担责任外，还应当据实赔偿买方因此遭受的全部损失，卖方向买方支付的损失包括但不限于诉讼费、差旅费、律师费、第三方索赔、评估费、鉴定费等各项费用。</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13.8</w:t>
      </w:r>
      <w:r>
        <w:rPr>
          <w:rFonts w:hint="eastAsia" w:ascii="Arial Narrow" w:hAnsi="宋体"/>
          <w:sz w:val="24"/>
          <w:szCs w:val="24"/>
        </w:rPr>
        <w:t>卖方向买方支付的违约金、赔偿和其他费用，买方均有权自应付未付给卖方的费用中直接扣除。（卖方放弃提出异议的权利）。不足扣除部分，卖方应在买方限定期限内补足。</w:t>
      </w:r>
    </w:p>
    <w:p>
      <w:pPr>
        <w:pStyle w:val="17"/>
        <w:tabs>
          <w:tab w:val="left" w:pos="7980"/>
        </w:tabs>
        <w:spacing w:line="440" w:lineRule="exact"/>
        <w:jc w:val="left"/>
        <w:rPr>
          <w:rFonts w:ascii="仿宋_GB2312" w:hAnsi="宋体" w:eastAsia="仿宋_GB2312"/>
          <w:b/>
          <w:bCs/>
          <w:sz w:val="28"/>
          <w:szCs w:val="28"/>
        </w:rPr>
      </w:pPr>
      <w:r>
        <w:rPr>
          <w:rFonts w:hint="eastAsia" w:ascii="仿宋_GB2312" w:hAnsi="宋体" w:eastAsia="仿宋_GB2312"/>
          <w:b/>
          <w:bCs/>
          <w:sz w:val="28"/>
          <w:szCs w:val="28"/>
        </w:rPr>
        <w:t>12.保险</w:t>
      </w:r>
      <w:bookmarkEnd w:id="31"/>
      <w:bookmarkEnd w:id="32"/>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12.1卖方必须对自己的全部设备及人员进行保险，如发生设备、人身伤亡等事故（买方过错除外），由卖方负责向保险公司索赔，买方不负任何责任。</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12.2因买方过错造成卖方的设备和人员的损害，由卖方负责向保险公司索赔，买方只承担保险公司赔偿以外的损失，对于未保险的部分买方不予赔偿。</w:t>
      </w:r>
    </w:p>
    <w:p>
      <w:pPr>
        <w:pStyle w:val="17"/>
        <w:tabs>
          <w:tab w:val="left" w:pos="7980"/>
        </w:tabs>
        <w:spacing w:line="440" w:lineRule="exact"/>
        <w:jc w:val="left"/>
        <w:rPr>
          <w:rFonts w:ascii="仿宋_GB2312" w:hAnsi="宋体" w:eastAsia="仿宋_GB2312"/>
          <w:b/>
          <w:bCs/>
          <w:sz w:val="28"/>
          <w:szCs w:val="28"/>
        </w:rPr>
      </w:pPr>
      <w:r>
        <w:rPr>
          <w:rFonts w:hint="eastAsia" w:ascii="仿宋_GB2312" w:hAnsi="宋体" w:eastAsia="仿宋_GB2312"/>
          <w:b/>
          <w:bCs/>
          <w:sz w:val="28"/>
          <w:szCs w:val="28"/>
        </w:rPr>
        <w:t>13.诉讼</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13.1本合同适用中华人民共和国法律。</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3</w:t>
      </w:r>
      <w:r>
        <w:rPr>
          <w:rFonts w:ascii="Arial Narrow" w:hAnsi="宋体"/>
          <w:sz w:val="24"/>
          <w:szCs w:val="24"/>
        </w:rPr>
        <w:t>.</w:t>
      </w:r>
      <w:r>
        <w:rPr>
          <w:rFonts w:hint="eastAsia" w:ascii="Arial Narrow" w:hAnsi="宋体"/>
          <w:sz w:val="24"/>
          <w:szCs w:val="24"/>
        </w:rPr>
        <w:t>3双方在本合同履行过程中发生争议时，首先应努力通过友好协商的方式解决。</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3</w:t>
      </w:r>
      <w:r>
        <w:rPr>
          <w:rFonts w:ascii="Arial Narrow" w:hAnsi="宋体"/>
          <w:sz w:val="24"/>
          <w:szCs w:val="24"/>
        </w:rPr>
        <w:t>.</w:t>
      </w:r>
      <w:r>
        <w:rPr>
          <w:rFonts w:hint="eastAsia" w:ascii="Arial Narrow" w:hAnsi="宋体"/>
          <w:sz w:val="24"/>
          <w:szCs w:val="24"/>
        </w:rPr>
        <w:t>3若协商不能解决争议，任何一方可向买方所在地有管辖权的人民法院提起诉讼。</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13.4诉讼进行过程中，双方将继续履行本合同未涉诉讼的其它部分。</w:t>
      </w:r>
    </w:p>
    <w:p>
      <w:pPr>
        <w:spacing w:line="560" w:lineRule="exact"/>
        <w:rPr>
          <w:rFonts w:ascii="Arial Narrow" w:hAnsi="Arial Narrow" w:eastAsia="Arial Narrow" w:cs="Arial Narrow"/>
          <w:b/>
          <w:sz w:val="24"/>
          <w:szCs w:val="24"/>
        </w:rPr>
      </w:pPr>
      <w:r>
        <w:rPr>
          <w:rFonts w:ascii="Arial Narrow" w:hAnsi="Arial Narrow" w:eastAsia="Arial Narrow" w:cs="Arial Narrow"/>
          <w:b/>
          <w:sz w:val="24"/>
          <w:szCs w:val="24"/>
        </w:rPr>
        <w:t>1</w:t>
      </w:r>
      <w:r>
        <w:rPr>
          <w:rFonts w:hint="eastAsia" w:ascii="Arial Narrow" w:hAnsi="Arial Narrow" w:eastAsia="Arial Narrow" w:cs="Arial Narrow"/>
          <w:b/>
          <w:sz w:val="24"/>
          <w:szCs w:val="24"/>
        </w:rPr>
        <w:t>4</w:t>
      </w:r>
      <w:r>
        <w:rPr>
          <w:rFonts w:hint="eastAsia" w:ascii="Arial Narrow" w:cs="宋体"/>
          <w:b/>
          <w:sz w:val="24"/>
          <w:szCs w:val="24"/>
        </w:rPr>
        <w:t>、合同生效及其它</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4</w:t>
      </w:r>
      <w:r>
        <w:rPr>
          <w:rFonts w:ascii="Arial Narrow" w:hAnsi="宋体"/>
          <w:sz w:val="24"/>
          <w:szCs w:val="24"/>
        </w:rPr>
        <w:t>.1   </w:t>
      </w:r>
      <w:r>
        <w:rPr>
          <w:rFonts w:hint="eastAsia" w:ascii="Arial Narrow" w:hAnsi="宋体"/>
          <w:sz w:val="24"/>
          <w:szCs w:val="24"/>
        </w:rPr>
        <w:t>合同经双方法定代表人或授权委托代理人合法签字并加盖单位合同章，且卖方提供全部履约保证金或等额合格履约保函后生效。</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4</w:t>
      </w:r>
      <w:r>
        <w:rPr>
          <w:rFonts w:ascii="Arial Narrow" w:hAnsi="宋体"/>
          <w:sz w:val="24"/>
          <w:szCs w:val="24"/>
        </w:rPr>
        <w:t xml:space="preserve">.2  </w:t>
      </w:r>
      <w:r>
        <w:rPr>
          <w:rFonts w:hint="eastAsia" w:ascii="Arial Narrow" w:hAnsi="宋体"/>
          <w:sz w:val="24"/>
          <w:szCs w:val="24"/>
        </w:rPr>
        <w:t>合同执行中涉及合同内容的书面修改或补充的，作为主合同不可分割的一部分，与主合同具有同等法律效力。</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4</w:t>
      </w:r>
      <w:r>
        <w:rPr>
          <w:rFonts w:ascii="Arial Narrow" w:hAnsi="宋体"/>
          <w:sz w:val="24"/>
          <w:szCs w:val="24"/>
        </w:rPr>
        <w:t>.3</w:t>
      </w:r>
      <w:r>
        <w:rPr>
          <w:rFonts w:hint="eastAsia" w:ascii="Arial Narrow" w:hAnsi="宋体"/>
          <w:sz w:val="24"/>
          <w:szCs w:val="24"/>
        </w:rPr>
        <w:t>关于本项目招投标文件或与本次采购活动方式相适应的文件及有关附件是本合同不可分割的组成部分，与本合同具有同等法律效力，这些文件包括但不限于：</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1</w:t>
      </w:r>
      <w:r>
        <w:rPr>
          <w:rFonts w:hint="eastAsia" w:ascii="Arial Narrow" w:hAnsi="宋体"/>
          <w:sz w:val="24"/>
          <w:szCs w:val="24"/>
        </w:rPr>
        <w:t>）供货清单和分项价格表;</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2</w:t>
      </w:r>
      <w:r>
        <w:rPr>
          <w:rFonts w:hint="eastAsia" w:ascii="Arial Narrow" w:hAnsi="宋体"/>
          <w:sz w:val="24"/>
          <w:szCs w:val="24"/>
        </w:rPr>
        <w:t>）技术附件</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3</w:t>
      </w:r>
      <w:r>
        <w:rPr>
          <w:rFonts w:hint="eastAsia" w:ascii="Arial Narrow" w:hAnsi="宋体"/>
          <w:sz w:val="24"/>
          <w:szCs w:val="24"/>
        </w:rPr>
        <w:t>）招标、投标文件的内容</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4</w:t>
      </w:r>
      <w:r>
        <w:rPr>
          <w:rFonts w:hint="eastAsia" w:ascii="Arial Narrow" w:hAnsi="宋体"/>
          <w:sz w:val="24"/>
          <w:szCs w:val="24"/>
        </w:rPr>
        <w:t>）技术规格响应表；</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5</w:t>
      </w:r>
      <w:r>
        <w:rPr>
          <w:rFonts w:hint="eastAsia" w:ascii="Arial Narrow" w:hAnsi="宋体"/>
          <w:sz w:val="24"/>
          <w:szCs w:val="24"/>
        </w:rPr>
        <w:t>）投标承诺；</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6</w:t>
      </w:r>
      <w:r>
        <w:rPr>
          <w:rFonts w:hint="eastAsia" w:ascii="Arial Narrow" w:hAnsi="宋体"/>
          <w:sz w:val="24"/>
          <w:szCs w:val="24"/>
        </w:rPr>
        <w:t>）服务承诺；</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7</w:t>
      </w:r>
      <w:r>
        <w:rPr>
          <w:rFonts w:hint="eastAsia" w:ascii="Arial Narrow" w:hAnsi="宋体"/>
          <w:sz w:val="24"/>
          <w:szCs w:val="24"/>
        </w:rPr>
        <w:t>）买卖双方商定的其他文件；</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8</w:t>
      </w:r>
      <w:r>
        <w:rPr>
          <w:rFonts w:hint="eastAsia" w:ascii="Arial Narrow" w:hAnsi="宋体"/>
          <w:sz w:val="24"/>
          <w:szCs w:val="24"/>
        </w:rPr>
        <w:t>）与本合同相关的单据、会议纪要、有效的来往信函等；</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w:t>
      </w:r>
      <w:r>
        <w:rPr>
          <w:rFonts w:ascii="Arial Narrow" w:hAnsi="宋体"/>
          <w:sz w:val="24"/>
          <w:szCs w:val="24"/>
        </w:rPr>
        <w:t>9</w:t>
      </w:r>
      <w:r>
        <w:rPr>
          <w:rFonts w:hint="eastAsia" w:ascii="Arial Narrow" w:hAnsi="宋体"/>
          <w:sz w:val="24"/>
          <w:szCs w:val="24"/>
        </w:rPr>
        <w:t>）原4#高线工程建设时与森德斯公司签订的技术协议（附件）。</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4</w:t>
      </w:r>
      <w:r>
        <w:rPr>
          <w:rFonts w:ascii="Arial Narrow" w:hAnsi="宋体"/>
          <w:sz w:val="24"/>
          <w:szCs w:val="24"/>
        </w:rPr>
        <w:t>.4</w:t>
      </w:r>
      <w:r>
        <w:rPr>
          <w:rFonts w:hint="eastAsia" w:ascii="Arial Narrow" w:hAnsi="宋体"/>
          <w:sz w:val="24"/>
          <w:szCs w:val="24"/>
        </w:rPr>
        <w:t>文件优先次序：</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组成合同的各个文件应该认为是一个整体，彼此相互解释，相互补充。如果出现含糊不清或相互矛盾的情况，文件的优先解释次序如下：</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合同条款及补充协议；</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合同条件；</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合同技术附件；</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其他文件，如：会议纪要、有效的来往函件等；</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招标文件；</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投标文件。</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4</w:t>
      </w:r>
      <w:r>
        <w:rPr>
          <w:rFonts w:ascii="Arial Narrow" w:hAnsi="宋体"/>
          <w:sz w:val="24"/>
          <w:szCs w:val="24"/>
        </w:rPr>
        <w:t>.5</w:t>
      </w:r>
      <w:r>
        <w:rPr>
          <w:rFonts w:hint="eastAsia" w:ascii="Arial Narrow" w:hAnsi="宋体"/>
          <w:sz w:val="24"/>
          <w:szCs w:val="24"/>
        </w:rPr>
        <w:t>本合同未尽事宜，遵照《中华人民共和国合同法》等有关法律、法规条文执行。</w:t>
      </w:r>
    </w:p>
    <w:p>
      <w:pPr>
        <w:pStyle w:val="17"/>
        <w:spacing w:line="440" w:lineRule="exact"/>
        <w:ind w:left="0" w:leftChars="0" w:firstLine="420" w:firstLineChars="175"/>
        <w:jc w:val="left"/>
        <w:rPr>
          <w:rFonts w:ascii="Arial Narrow" w:hAnsi="宋体"/>
          <w:sz w:val="24"/>
          <w:szCs w:val="24"/>
        </w:rPr>
      </w:pPr>
      <w:r>
        <w:rPr>
          <w:rFonts w:ascii="Arial Narrow" w:hAnsi="宋体"/>
          <w:sz w:val="24"/>
          <w:szCs w:val="24"/>
        </w:rPr>
        <w:t>1</w:t>
      </w:r>
      <w:r>
        <w:rPr>
          <w:rFonts w:hint="eastAsia" w:ascii="Arial Narrow" w:hAnsi="宋体"/>
          <w:sz w:val="24"/>
          <w:szCs w:val="24"/>
        </w:rPr>
        <w:t>4</w:t>
      </w:r>
      <w:r>
        <w:rPr>
          <w:rFonts w:ascii="Arial Narrow" w:hAnsi="宋体"/>
          <w:sz w:val="24"/>
          <w:szCs w:val="24"/>
        </w:rPr>
        <w:t>.6</w:t>
      </w:r>
      <w:r>
        <w:rPr>
          <w:rFonts w:hint="eastAsia" w:ascii="Arial Narrow" w:hAnsi="宋体"/>
          <w:sz w:val="24"/>
          <w:szCs w:val="24"/>
        </w:rPr>
        <w:t>本合同一式【十二】份，双方各执【六</w:t>
      </w:r>
      <w:r>
        <w:rPr>
          <w:rFonts w:ascii="Arial Narrow" w:hAnsi="宋体"/>
          <w:sz w:val="24"/>
          <w:szCs w:val="24"/>
        </w:rPr>
        <w:t xml:space="preserve"> </w:t>
      </w:r>
      <w:r>
        <w:rPr>
          <w:rFonts w:hint="eastAsia" w:ascii="Arial Narrow" w:hAnsi="宋体"/>
          <w:sz w:val="24"/>
          <w:szCs w:val="24"/>
        </w:rPr>
        <w:t>】份，具有同等法律效力，或双方可协商签订补充协议予以确定。本合同附件与本合同正文具有同等法律效力。</w:t>
      </w:r>
    </w:p>
    <w:p>
      <w:pPr>
        <w:pStyle w:val="17"/>
        <w:spacing w:line="440" w:lineRule="exact"/>
        <w:ind w:left="0" w:leftChars="0" w:firstLine="422" w:firstLineChars="175"/>
        <w:jc w:val="left"/>
        <w:rPr>
          <w:rFonts w:ascii="Arial Narrow" w:hAnsi="宋体"/>
          <w:sz w:val="24"/>
          <w:szCs w:val="24"/>
        </w:rPr>
      </w:pPr>
      <w:r>
        <w:rPr>
          <w:rFonts w:ascii="Arial Narrow" w:hAnsi="宋体"/>
          <w:b/>
          <w:bCs/>
          <w:sz w:val="24"/>
          <w:szCs w:val="24"/>
        </w:rPr>
        <w:t>1</w:t>
      </w:r>
      <w:r>
        <w:rPr>
          <w:rFonts w:hint="eastAsia" w:ascii="Arial Narrow" w:hAnsi="宋体"/>
          <w:b/>
          <w:bCs/>
          <w:sz w:val="24"/>
          <w:szCs w:val="24"/>
        </w:rPr>
        <w:t>5、</w:t>
      </w:r>
      <w:r>
        <w:rPr>
          <w:rFonts w:hint="eastAsia" w:ascii="Arial Narrow" w:hAnsi="宋体"/>
          <w:sz w:val="24"/>
          <w:szCs w:val="24"/>
        </w:rPr>
        <w:t>卖方确认本合同签署页记载的联系地址和联系方式真实、有效，以确保买方通过该联系地址和联系方式向卖方寄送的邮件、物品能够准确送达。若出现拒收、任何他方代收、退回等情形的，均视为卖方已经签收。卖方变更联系方式的，需提前</w:t>
      </w:r>
      <w:r>
        <w:rPr>
          <w:rFonts w:ascii="Arial Narrow" w:hAnsi="宋体"/>
          <w:sz w:val="24"/>
          <w:szCs w:val="24"/>
        </w:rPr>
        <w:t>7</w:t>
      </w:r>
      <w:r>
        <w:rPr>
          <w:rFonts w:hint="eastAsia" w:ascii="Arial Narrow" w:hAnsi="宋体"/>
          <w:sz w:val="24"/>
          <w:szCs w:val="24"/>
        </w:rPr>
        <w:t>个工作日书面通知买方。因卖方逾期通知产生的全部法律责任均由卖方承担。</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16、合同附件系合同不可分割的组成部分，与合同具有同等法律效力。合同附件包括：</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附件1：</w:t>
      </w:r>
    </w:p>
    <w:p>
      <w:pPr>
        <w:pStyle w:val="17"/>
        <w:spacing w:line="440" w:lineRule="exact"/>
        <w:ind w:left="0" w:leftChars="0" w:firstLine="420" w:firstLineChars="175"/>
        <w:jc w:val="left"/>
        <w:rPr>
          <w:rFonts w:ascii="Arial Narrow" w:hAnsi="宋体"/>
          <w:sz w:val="24"/>
          <w:szCs w:val="24"/>
        </w:rPr>
      </w:pPr>
      <w:r>
        <w:rPr>
          <w:rFonts w:hint="eastAsia" w:ascii="Arial Narrow" w:hAnsi="宋体"/>
          <w:sz w:val="24"/>
          <w:szCs w:val="24"/>
        </w:rPr>
        <w:t>附件2：</w:t>
      </w:r>
    </w:p>
    <w:p>
      <w:pPr>
        <w:tabs>
          <w:tab w:val="left" w:pos="5211"/>
        </w:tabs>
        <w:spacing w:line="520" w:lineRule="exact"/>
        <w:ind w:firstLine="480" w:firstLineChars="200"/>
        <w:rPr>
          <w:rFonts w:ascii="Arial Narrow" w:hAnsi="Arial Narrow" w:cs="Arial Narrow"/>
          <w:sz w:val="24"/>
          <w:szCs w:val="24"/>
        </w:rPr>
      </w:pPr>
      <w:r>
        <w:rPr>
          <w:rFonts w:hint="eastAsia" w:ascii="Arial Narrow" w:hAnsi="Arial Narrow" w:cs="Arial Narrow"/>
          <w:sz w:val="24"/>
          <w:szCs w:val="24"/>
        </w:rPr>
        <w:t>.......</w:t>
      </w:r>
    </w:p>
    <w:p>
      <w:pPr>
        <w:tabs>
          <w:tab w:val="left" w:pos="945"/>
        </w:tabs>
        <w:spacing w:line="360" w:lineRule="auto"/>
        <w:jc w:val="center"/>
        <w:rPr>
          <w:rFonts w:ascii="Arial Narrow" w:hAnsi="宋体" w:cs="宋体"/>
          <w:sz w:val="24"/>
          <w:szCs w:val="24"/>
        </w:rPr>
      </w:pPr>
      <w:r>
        <w:rPr>
          <w:rFonts w:hint="eastAsia" w:ascii="Arial Narrow" w:hAnsi="宋体" w:cs="宋体"/>
          <w:sz w:val="24"/>
          <w:szCs w:val="24"/>
        </w:rPr>
        <w:t>（以下无正文）</w:t>
      </w:r>
    </w:p>
    <w:p>
      <w:pPr>
        <w:tabs>
          <w:tab w:val="left" w:pos="945"/>
        </w:tabs>
        <w:spacing w:line="360" w:lineRule="auto"/>
        <w:jc w:val="center"/>
        <w:rPr>
          <w:rFonts w:ascii="Arial Narrow" w:hAnsi="宋体" w:cs="宋体"/>
          <w:sz w:val="24"/>
          <w:szCs w:val="24"/>
        </w:rPr>
      </w:pPr>
    </w:p>
    <w:p>
      <w:pPr>
        <w:tabs>
          <w:tab w:val="left" w:pos="4630"/>
        </w:tabs>
        <w:spacing w:line="300" w:lineRule="exact"/>
        <w:ind w:left="4724" w:hanging="4724" w:hangingChars="2241"/>
        <w:rPr>
          <w:rFonts w:ascii="宋体" w:hAnsi="宋体" w:cs="宋体"/>
          <w:szCs w:val="21"/>
        </w:rPr>
      </w:pPr>
      <w:r>
        <w:rPr>
          <w:rFonts w:hint="eastAsia" w:ascii="宋体" w:hAnsi="宋体" w:cs="宋体"/>
          <w:b/>
          <w:szCs w:val="21"/>
        </w:rPr>
        <w:t>买方名称：</w:t>
      </w:r>
      <w:r>
        <w:rPr>
          <w:rFonts w:hint="eastAsia" w:ascii="宋体" w:hAnsi="宋体" w:cs="宋体"/>
          <w:b/>
          <w:bCs/>
          <w:szCs w:val="21"/>
        </w:rPr>
        <w:t>青岛特殊钢铁有限公司</w:t>
      </w:r>
      <w:r>
        <w:rPr>
          <w:rFonts w:hint="eastAsia" w:ascii="宋体" w:hAnsi="宋体" w:cs="宋体"/>
          <w:szCs w:val="21"/>
        </w:rPr>
        <w:tab/>
      </w:r>
      <w:r>
        <w:rPr>
          <w:rFonts w:hint="eastAsia" w:ascii="宋体" w:hAnsi="宋体" w:cs="宋体"/>
          <w:szCs w:val="21"/>
        </w:rPr>
        <w:t xml:space="preserve"> </w:t>
      </w:r>
      <w:r>
        <w:rPr>
          <w:rFonts w:hint="eastAsia" w:ascii="宋体" w:hAnsi="宋体" w:cs="宋体"/>
          <w:b/>
          <w:szCs w:val="21"/>
        </w:rPr>
        <w:t>卖方名称：</w:t>
      </w:r>
    </w:p>
    <w:p>
      <w:pPr>
        <w:tabs>
          <w:tab w:val="left" w:pos="4678"/>
        </w:tabs>
        <w:spacing w:line="300" w:lineRule="exact"/>
        <w:rPr>
          <w:rFonts w:ascii="宋体" w:hAnsi="宋体" w:cs="宋体"/>
          <w:szCs w:val="21"/>
        </w:rPr>
      </w:pPr>
      <w:r>
        <w:rPr>
          <w:rFonts w:hint="eastAsia" w:ascii="宋体" w:hAnsi="宋体" w:cs="宋体"/>
          <w:szCs w:val="21"/>
        </w:rPr>
        <w:t>（合同专用章）</w:t>
      </w:r>
      <w:r>
        <w:rPr>
          <w:rFonts w:hint="eastAsia" w:ascii="宋体" w:hAnsi="宋体" w:cs="宋体"/>
          <w:szCs w:val="21"/>
        </w:rPr>
        <w:tab/>
      </w:r>
      <w:r>
        <w:rPr>
          <w:rFonts w:hint="eastAsia" w:ascii="宋体" w:hAnsi="宋体" w:cs="宋体"/>
          <w:szCs w:val="21"/>
        </w:rPr>
        <w:t>（合同专用章）</w:t>
      </w:r>
    </w:p>
    <w:p>
      <w:pPr>
        <w:tabs>
          <w:tab w:val="left" w:pos="4620"/>
        </w:tabs>
        <w:spacing w:line="300" w:lineRule="exact"/>
        <w:rPr>
          <w:rFonts w:ascii="宋体" w:hAnsi="宋体" w:cs="宋体"/>
          <w:szCs w:val="21"/>
        </w:rPr>
      </w:pPr>
    </w:p>
    <w:p>
      <w:pPr>
        <w:tabs>
          <w:tab w:val="left" w:pos="4620"/>
        </w:tabs>
        <w:spacing w:line="300" w:lineRule="exact"/>
        <w:rPr>
          <w:rFonts w:ascii="宋体" w:hAnsi="宋体" w:cs="宋体"/>
          <w:szCs w:val="21"/>
        </w:rPr>
      </w:pPr>
      <w:r>
        <w:rPr>
          <w:rFonts w:hint="eastAsia" w:ascii="宋体" w:hAnsi="宋体" w:cs="宋体"/>
          <w:szCs w:val="21"/>
        </w:rPr>
        <w:t>联系地址：</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联系地址：</w:t>
      </w:r>
      <w:r>
        <w:rPr>
          <w:rFonts w:hint="eastAsia" w:ascii="宋体" w:hAnsi="宋体" w:cs="宋体"/>
          <w:szCs w:val="21"/>
          <w:u w:val="single"/>
        </w:rPr>
        <w:t xml:space="preserve">                       </w:t>
      </w:r>
    </w:p>
    <w:p>
      <w:pPr>
        <w:tabs>
          <w:tab w:val="left" w:pos="4620"/>
        </w:tabs>
        <w:spacing w:line="300" w:lineRule="exact"/>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法定代表人：</w:t>
      </w:r>
      <w:r>
        <w:rPr>
          <w:rFonts w:hint="eastAsia" w:ascii="宋体" w:hAnsi="宋体" w:cs="宋体"/>
          <w:szCs w:val="21"/>
          <w:u w:val="single"/>
        </w:rPr>
        <w:t xml:space="preserve">             </w:t>
      </w:r>
    </w:p>
    <w:p>
      <w:pPr>
        <w:tabs>
          <w:tab w:val="left" w:pos="4630"/>
        </w:tabs>
        <w:spacing w:line="300" w:lineRule="exact"/>
        <w:rPr>
          <w:rFonts w:ascii="宋体" w:hAnsi="宋体" w:cs="宋体"/>
          <w:szCs w:val="21"/>
        </w:rPr>
      </w:pPr>
      <w:r>
        <w:rPr>
          <w:rFonts w:hint="eastAsia" w:ascii="宋体" w:hAnsi="宋体" w:cs="宋体"/>
          <w:kern w:val="0"/>
          <w:szCs w:val="21"/>
        </w:rPr>
        <w:t>授权代表</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（签字）</w:t>
      </w:r>
      <w:r>
        <w:rPr>
          <w:rFonts w:hint="eastAsia" w:ascii="宋体" w:hAnsi="宋体" w:cs="宋体"/>
          <w:szCs w:val="21"/>
        </w:rPr>
        <w:tab/>
      </w:r>
      <w:r>
        <w:rPr>
          <w:rFonts w:hint="eastAsia" w:ascii="宋体" w:hAnsi="宋体" w:cs="宋体"/>
          <w:kern w:val="0"/>
          <w:szCs w:val="21"/>
        </w:rPr>
        <w:t>授权代表</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（签字）</w:t>
      </w:r>
    </w:p>
    <w:p>
      <w:pPr>
        <w:tabs>
          <w:tab w:val="left" w:pos="4630"/>
        </w:tabs>
        <w:spacing w:line="300" w:lineRule="exact"/>
        <w:rPr>
          <w:rFonts w:ascii="宋体" w:hAnsi="宋体" w:cs="宋体"/>
          <w:szCs w:val="21"/>
          <w:u w:val="single"/>
        </w:rPr>
      </w:pPr>
      <w:r>
        <w:rPr>
          <w:rFonts w:hint="eastAsia" w:ascii="宋体" w:hAnsi="宋体" w:cs="宋体"/>
          <w:szCs w:val="21"/>
        </w:rPr>
        <w:t>经办人：</w:t>
      </w:r>
      <w:r>
        <w:rPr>
          <w:rFonts w:hint="eastAsia" w:ascii="宋体" w:hAnsi="宋体" w:cs="宋体"/>
          <w:szCs w:val="21"/>
          <w:u w:val="single"/>
        </w:rPr>
        <w:t xml:space="preserve">                 </w:t>
      </w:r>
      <w:r>
        <w:rPr>
          <w:rFonts w:hint="eastAsia" w:ascii="宋体" w:hAnsi="宋体" w:cs="宋体"/>
          <w:szCs w:val="21"/>
        </w:rPr>
        <w:t>（签字）           经办人：</w:t>
      </w:r>
      <w:r>
        <w:rPr>
          <w:rFonts w:hint="eastAsia" w:ascii="宋体" w:hAnsi="宋体" w:cs="宋体"/>
          <w:szCs w:val="21"/>
          <w:u w:val="single"/>
        </w:rPr>
        <w:t xml:space="preserve">                  </w:t>
      </w:r>
      <w:r>
        <w:rPr>
          <w:rFonts w:hint="eastAsia" w:ascii="宋体" w:hAnsi="宋体" w:cs="宋体"/>
          <w:szCs w:val="21"/>
        </w:rPr>
        <w:t>（签字）</w:t>
      </w:r>
    </w:p>
    <w:p>
      <w:pPr>
        <w:tabs>
          <w:tab w:val="left" w:pos="4624"/>
        </w:tabs>
        <w:spacing w:line="300" w:lineRule="exact"/>
        <w:rPr>
          <w:rFonts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开户银行：</w:t>
      </w:r>
      <w:r>
        <w:rPr>
          <w:rFonts w:hint="eastAsia" w:ascii="宋体" w:hAnsi="宋体" w:cs="宋体"/>
          <w:szCs w:val="21"/>
          <w:u w:val="single"/>
        </w:rPr>
        <w:t xml:space="preserve">                       </w:t>
      </w:r>
    </w:p>
    <w:p>
      <w:pPr>
        <w:tabs>
          <w:tab w:val="left" w:pos="4620"/>
        </w:tabs>
        <w:spacing w:line="300" w:lineRule="exact"/>
        <w:rPr>
          <w:rFonts w:ascii="宋体" w:hAnsi="宋体" w:cs="宋体"/>
          <w:szCs w:val="21"/>
        </w:rPr>
      </w:pPr>
      <w:r>
        <w:rPr>
          <w:rFonts w:hint="eastAsia" w:ascii="宋体" w:hAnsi="宋体" w:cs="宋体"/>
          <w:szCs w:val="21"/>
        </w:rPr>
        <w:t>帐号：</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帐号：</w:t>
      </w:r>
      <w:r>
        <w:rPr>
          <w:rFonts w:hint="eastAsia" w:ascii="宋体" w:hAnsi="宋体" w:cs="宋体"/>
          <w:szCs w:val="21"/>
          <w:u w:val="single"/>
        </w:rPr>
        <w:t xml:space="preserve">                    </w:t>
      </w:r>
    </w:p>
    <w:p>
      <w:pPr>
        <w:tabs>
          <w:tab w:val="left" w:pos="4620"/>
        </w:tabs>
        <w:spacing w:line="300" w:lineRule="exact"/>
        <w:rPr>
          <w:rFonts w:ascii="宋体" w:hAnsi="宋体" w:cs="宋体"/>
          <w:szCs w:val="21"/>
        </w:rPr>
      </w:pPr>
      <w:r>
        <w:rPr>
          <w:rFonts w:hint="eastAsia" w:ascii="宋体" w:hAnsi="宋体" w:cs="宋体"/>
          <w:szCs w:val="21"/>
        </w:rPr>
        <w:t>电话：</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电话：</w:t>
      </w:r>
      <w:r>
        <w:rPr>
          <w:rFonts w:hint="eastAsia" w:ascii="宋体" w:hAnsi="宋体" w:cs="宋体"/>
          <w:szCs w:val="21"/>
          <w:u w:val="single"/>
        </w:rPr>
        <w:t xml:space="preserve">                    </w:t>
      </w:r>
    </w:p>
    <w:p>
      <w:pPr>
        <w:tabs>
          <w:tab w:val="left" w:pos="4620"/>
        </w:tabs>
        <w:spacing w:line="300" w:lineRule="exact"/>
        <w:rPr>
          <w:rFonts w:ascii="宋体" w:hAnsi="宋体" w:cs="宋体"/>
          <w:szCs w:val="21"/>
        </w:rPr>
      </w:pPr>
      <w:r>
        <w:rPr>
          <w:rFonts w:hint="eastAsia" w:ascii="宋体" w:hAnsi="宋体" w:cs="宋体"/>
          <w:szCs w:val="21"/>
        </w:rPr>
        <w:t>传真：</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传真：</w:t>
      </w:r>
      <w:r>
        <w:rPr>
          <w:rFonts w:hint="eastAsia" w:ascii="宋体" w:hAnsi="宋体" w:cs="宋体"/>
          <w:szCs w:val="21"/>
          <w:u w:val="single"/>
        </w:rPr>
        <w:t xml:space="preserve">                    </w:t>
      </w:r>
    </w:p>
    <w:p>
      <w:pPr>
        <w:tabs>
          <w:tab w:val="left" w:pos="4620"/>
        </w:tabs>
        <w:spacing w:line="300" w:lineRule="exact"/>
        <w:rPr>
          <w:rFonts w:ascii="宋体" w:hAnsi="宋体" w:cs="宋体"/>
          <w:szCs w:val="21"/>
        </w:rPr>
      </w:pPr>
      <w:r>
        <w:rPr>
          <w:rFonts w:hint="eastAsia" w:ascii="宋体" w:hAnsi="宋体" w:cs="宋体"/>
          <w:szCs w:val="21"/>
        </w:rPr>
        <w:t>邮箱：</w:t>
      </w:r>
      <w:r>
        <w:rPr>
          <w:rFonts w:hint="eastAsia" w:ascii="宋体" w:hAnsi="宋体" w:cs="宋体"/>
          <w:szCs w:val="21"/>
          <w:u w:val="single"/>
        </w:rPr>
        <w:t xml:space="preserve">                    </w:t>
      </w:r>
      <w:r>
        <w:rPr>
          <w:rFonts w:hint="eastAsia" w:ascii="宋体" w:hAnsi="宋体" w:cs="宋体"/>
          <w:szCs w:val="21"/>
        </w:rPr>
        <w:t xml:space="preserve">                  邮箱：</w:t>
      </w:r>
      <w:r>
        <w:rPr>
          <w:rFonts w:hint="eastAsia" w:ascii="宋体" w:hAnsi="宋体" w:cs="宋体"/>
          <w:szCs w:val="21"/>
          <w:u w:val="single"/>
        </w:rPr>
        <w:t xml:space="preserve">                    </w:t>
      </w:r>
      <w:r>
        <w:rPr>
          <w:rFonts w:hint="eastAsia" w:ascii="宋体" w:hAnsi="宋体" w:cs="宋体"/>
          <w:szCs w:val="21"/>
        </w:rPr>
        <w:t xml:space="preserve">     </w:t>
      </w:r>
    </w:p>
    <w:p>
      <w:pPr>
        <w:spacing w:line="300" w:lineRule="exact"/>
        <w:rPr>
          <w:rFonts w:ascii="宋体" w:hAnsi="宋体" w:cs="宋体"/>
          <w:szCs w:val="21"/>
        </w:rPr>
      </w:pPr>
      <w:r>
        <w:rPr>
          <w:rFonts w:hint="eastAsia" w:ascii="宋体" w:hAnsi="宋体" w:cs="宋体"/>
          <w:szCs w:val="21"/>
        </w:rPr>
        <w:t>邮编：</w:t>
      </w:r>
      <w:r>
        <w:rPr>
          <w:rFonts w:hint="eastAsia" w:ascii="宋体" w:hAnsi="宋体" w:cs="宋体"/>
          <w:szCs w:val="21"/>
          <w:u w:val="single"/>
        </w:rPr>
        <w:t xml:space="preserve">                    </w:t>
      </w:r>
      <w:r>
        <w:rPr>
          <w:rFonts w:hint="eastAsia" w:ascii="宋体" w:hAnsi="宋体" w:cs="宋体"/>
          <w:szCs w:val="21"/>
        </w:rPr>
        <w:t xml:space="preserve">                  邮编：</w:t>
      </w:r>
      <w:r>
        <w:rPr>
          <w:rFonts w:hint="eastAsia" w:ascii="宋体" w:hAnsi="宋体" w:cs="宋体"/>
          <w:szCs w:val="21"/>
          <w:u w:val="single"/>
        </w:rPr>
        <w:t xml:space="preserve">                    </w:t>
      </w:r>
      <w:r>
        <w:rPr>
          <w:rFonts w:hint="eastAsia" w:ascii="宋体" w:hAnsi="宋体" w:cs="宋体"/>
          <w:szCs w:val="21"/>
        </w:rPr>
        <w:t xml:space="preserve"> </w:t>
      </w:r>
    </w:p>
    <w:p>
      <w:pPr>
        <w:pStyle w:val="17"/>
        <w:spacing w:line="440" w:lineRule="exact"/>
        <w:ind w:left="0" w:leftChars="0" w:firstLine="420" w:firstLineChars="175"/>
        <w:jc w:val="left"/>
        <w:rPr>
          <w:rFonts w:ascii="Arial Narrow" w:hAnsi="宋体"/>
          <w:sz w:val="24"/>
          <w:szCs w:val="24"/>
        </w:rPr>
      </w:pPr>
    </w:p>
    <w:p>
      <w:pPr>
        <w:pStyle w:val="17"/>
        <w:spacing w:line="440" w:lineRule="exact"/>
        <w:ind w:left="0" w:leftChars="0" w:firstLine="420" w:firstLineChars="175"/>
        <w:jc w:val="left"/>
        <w:rPr>
          <w:rFonts w:ascii="Arial Narrow" w:hAnsi="宋体"/>
          <w:sz w:val="24"/>
          <w:szCs w:val="24"/>
        </w:rPr>
      </w:pPr>
    </w:p>
    <w:bookmarkEnd w:id="20"/>
    <w:bookmarkEnd w:id="21"/>
    <w:bookmarkEnd w:id="22"/>
    <w:bookmarkEnd w:id="23"/>
    <w:bookmarkEnd w:id="24"/>
    <w:p>
      <w:pPr>
        <w:adjustRightInd w:val="0"/>
        <w:snapToGrid w:val="0"/>
        <w:spacing w:line="360" w:lineRule="auto"/>
        <w:jc w:val="center"/>
        <w:outlineLvl w:val="0"/>
        <w:rPr>
          <w:rFonts w:ascii="宋体" w:hAnsi="宋体"/>
          <w:b/>
          <w:bCs/>
          <w:sz w:val="36"/>
          <w:szCs w:val="36"/>
        </w:rPr>
      </w:pPr>
      <w:bookmarkStart w:id="33" w:name="_Toc135297843"/>
      <w:bookmarkStart w:id="34" w:name="_Toc138428747"/>
      <w:bookmarkStart w:id="35" w:name="_Toc139173723"/>
      <w:bookmarkStart w:id="36" w:name="_Toc325046386"/>
    </w:p>
    <w:p>
      <w:pPr>
        <w:adjustRightInd w:val="0"/>
        <w:snapToGrid w:val="0"/>
        <w:spacing w:line="360" w:lineRule="auto"/>
        <w:jc w:val="center"/>
        <w:outlineLvl w:val="0"/>
        <w:rPr>
          <w:rFonts w:ascii="宋体" w:hAnsi="宋体"/>
          <w:b/>
          <w:bCs/>
          <w:sz w:val="36"/>
          <w:szCs w:val="36"/>
        </w:rPr>
      </w:pPr>
    </w:p>
    <w:p>
      <w:pPr>
        <w:adjustRightInd w:val="0"/>
        <w:snapToGrid w:val="0"/>
        <w:spacing w:line="360" w:lineRule="auto"/>
        <w:jc w:val="center"/>
        <w:outlineLvl w:val="0"/>
        <w:rPr>
          <w:rFonts w:ascii="宋体" w:hAnsi="宋体"/>
          <w:b/>
          <w:bCs/>
          <w:sz w:val="36"/>
          <w:szCs w:val="36"/>
        </w:rPr>
      </w:pPr>
    </w:p>
    <w:p>
      <w:pPr>
        <w:adjustRightInd w:val="0"/>
        <w:snapToGrid w:val="0"/>
        <w:spacing w:line="360" w:lineRule="auto"/>
        <w:jc w:val="center"/>
        <w:outlineLvl w:val="0"/>
        <w:rPr>
          <w:rFonts w:ascii="宋体" w:hAnsi="宋体"/>
          <w:b/>
          <w:bCs/>
          <w:sz w:val="36"/>
          <w:szCs w:val="36"/>
        </w:rPr>
      </w:pPr>
    </w:p>
    <w:p>
      <w:pPr>
        <w:adjustRightInd w:val="0"/>
        <w:snapToGrid w:val="0"/>
        <w:spacing w:line="360" w:lineRule="auto"/>
        <w:jc w:val="center"/>
        <w:outlineLvl w:val="0"/>
        <w:rPr>
          <w:rFonts w:ascii="宋体" w:hAnsi="宋体"/>
          <w:b/>
          <w:bCs/>
          <w:sz w:val="36"/>
          <w:szCs w:val="36"/>
        </w:rPr>
      </w:pPr>
    </w:p>
    <w:p>
      <w:pPr>
        <w:adjustRightInd w:val="0"/>
        <w:snapToGrid w:val="0"/>
        <w:spacing w:line="360" w:lineRule="auto"/>
        <w:jc w:val="center"/>
        <w:outlineLvl w:val="0"/>
        <w:rPr>
          <w:rFonts w:ascii="宋体" w:hAnsi="宋体"/>
          <w:b/>
          <w:bCs/>
          <w:sz w:val="36"/>
          <w:szCs w:val="36"/>
        </w:rPr>
      </w:pPr>
    </w:p>
    <w:p>
      <w:pPr>
        <w:adjustRightInd w:val="0"/>
        <w:snapToGrid w:val="0"/>
        <w:spacing w:line="360" w:lineRule="auto"/>
        <w:jc w:val="center"/>
        <w:outlineLvl w:val="0"/>
        <w:rPr>
          <w:rFonts w:ascii="宋体" w:hAnsi="宋体"/>
          <w:b/>
          <w:bCs/>
          <w:sz w:val="36"/>
          <w:szCs w:val="36"/>
        </w:rPr>
      </w:pPr>
    </w:p>
    <w:p>
      <w:pPr>
        <w:adjustRightInd w:val="0"/>
        <w:snapToGrid w:val="0"/>
        <w:spacing w:line="360" w:lineRule="auto"/>
        <w:outlineLvl w:val="0"/>
        <w:rPr>
          <w:rFonts w:ascii="宋体" w:hAnsi="宋体"/>
          <w:b/>
          <w:bCs/>
          <w:sz w:val="36"/>
          <w:szCs w:val="36"/>
        </w:rPr>
      </w:pPr>
      <w:r>
        <w:rPr>
          <w:rFonts w:hint="eastAsia" w:ascii="宋体" w:hAnsi="宋体"/>
          <w:b/>
          <w:bCs/>
          <w:sz w:val="36"/>
          <w:szCs w:val="36"/>
        </w:rPr>
        <w:t xml:space="preserve">                 第七章</w:t>
      </w:r>
      <w:r>
        <w:rPr>
          <w:rFonts w:ascii="宋体" w:hAnsi="宋体"/>
          <w:b/>
          <w:bCs/>
          <w:sz w:val="36"/>
          <w:szCs w:val="36"/>
        </w:rPr>
        <w:t xml:space="preserve">   纪律与保密</w:t>
      </w:r>
      <w:bookmarkEnd w:id="33"/>
      <w:bookmarkEnd w:id="34"/>
      <w:bookmarkEnd w:id="35"/>
      <w:bookmarkEnd w:id="36"/>
    </w:p>
    <w:p>
      <w:pPr>
        <w:tabs>
          <w:tab w:val="left" w:pos="780"/>
        </w:tabs>
        <w:adjustRightInd w:val="0"/>
        <w:snapToGrid w:val="0"/>
        <w:spacing w:line="360" w:lineRule="auto"/>
        <w:ind w:firstLine="540" w:firstLineChars="225"/>
        <w:rPr>
          <w:rFonts w:ascii="宋体" w:hAnsi="宋体"/>
          <w:sz w:val="24"/>
          <w:szCs w:val="24"/>
        </w:rPr>
      </w:pPr>
    </w:p>
    <w:p>
      <w:pPr>
        <w:tabs>
          <w:tab w:val="left" w:pos="780"/>
        </w:tabs>
        <w:adjustRightInd w:val="0"/>
        <w:snapToGrid w:val="0"/>
        <w:spacing w:line="360" w:lineRule="auto"/>
        <w:ind w:firstLine="540" w:firstLineChars="225"/>
        <w:rPr>
          <w:rFonts w:ascii="宋体" w:hAnsi="宋体"/>
          <w:sz w:val="24"/>
          <w:szCs w:val="24"/>
        </w:rPr>
      </w:pPr>
      <w:r>
        <w:rPr>
          <w:rFonts w:ascii="宋体" w:hAnsi="宋体"/>
          <w:sz w:val="24"/>
          <w:szCs w:val="24"/>
        </w:rPr>
        <w:t>一、从投标截止日期到授予合同时止，有关投标文件的审查、澄清、评议以及有关授予合同的意向等一切情况都不得透露给投标人或与上述工作无关的单位和个人。</w:t>
      </w:r>
    </w:p>
    <w:p>
      <w:pPr>
        <w:tabs>
          <w:tab w:val="left" w:pos="780"/>
        </w:tabs>
        <w:adjustRightInd w:val="0"/>
        <w:snapToGrid w:val="0"/>
        <w:spacing w:line="360" w:lineRule="auto"/>
        <w:ind w:firstLine="540" w:firstLineChars="225"/>
        <w:rPr>
          <w:rFonts w:ascii="宋体" w:hAnsi="宋体"/>
          <w:sz w:val="24"/>
          <w:szCs w:val="24"/>
        </w:rPr>
      </w:pPr>
      <w:r>
        <w:rPr>
          <w:rFonts w:ascii="宋体" w:hAnsi="宋体"/>
          <w:sz w:val="24"/>
          <w:szCs w:val="24"/>
        </w:rPr>
        <w:t>二、参与评标的人员应严格遵守国家有关保密的法律、法规和规定，严格自律，并接受上级主管部门和有关部门的审查和监督。</w:t>
      </w:r>
    </w:p>
    <w:p>
      <w:pPr>
        <w:tabs>
          <w:tab w:val="left" w:pos="780"/>
        </w:tabs>
        <w:adjustRightInd w:val="0"/>
        <w:snapToGrid w:val="0"/>
        <w:spacing w:line="360" w:lineRule="auto"/>
        <w:ind w:firstLine="540" w:firstLineChars="225"/>
        <w:rPr>
          <w:rFonts w:ascii="宋体" w:hAnsi="宋体"/>
          <w:sz w:val="24"/>
          <w:szCs w:val="24"/>
        </w:rPr>
      </w:pPr>
      <w:r>
        <w:rPr>
          <w:rFonts w:ascii="宋体" w:hAnsi="宋体"/>
          <w:sz w:val="24"/>
          <w:szCs w:val="24"/>
        </w:rPr>
        <w:t>三、投标人申报的有关资质、业绩等文件和材料必须真实准确，不得弄虚作假。</w:t>
      </w:r>
    </w:p>
    <w:p>
      <w:pPr>
        <w:tabs>
          <w:tab w:val="left" w:pos="780"/>
        </w:tabs>
        <w:adjustRightInd w:val="0"/>
        <w:snapToGrid w:val="0"/>
        <w:spacing w:line="360" w:lineRule="auto"/>
        <w:ind w:firstLine="540" w:firstLineChars="225"/>
        <w:rPr>
          <w:rFonts w:ascii="宋体" w:hAnsi="宋体"/>
          <w:sz w:val="24"/>
          <w:szCs w:val="24"/>
        </w:rPr>
      </w:pPr>
      <w:r>
        <w:rPr>
          <w:rFonts w:ascii="宋体" w:hAnsi="宋体"/>
          <w:sz w:val="24"/>
          <w:szCs w:val="24"/>
        </w:rPr>
        <w:t>四、投标人不得串通作弊，哄抬标价，致使定标困难或无法定标。</w:t>
      </w:r>
    </w:p>
    <w:p>
      <w:pPr>
        <w:tabs>
          <w:tab w:val="left" w:pos="780"/>
        </w:tabs>
        <w:adjustRightInd w:val="0"/>
        <w:snapToGrid w:val="0"/>
        <w:spacing w:line="360" w:lineRule="auto"/>
        <w:ind w:firstLine="540" w:firstLineChars="225"/>
        <w:rPr>
          <w:rFonts w:ascii="宋体" w:hAnsi="宋体"/>
          <w:sz w:val="24"/>
          <w:szCs w:val="24"/>
        </w:rPr>
      </w:pPr>
      <w:r>
        <w:rPr>
          <w:rFonts w:ascii="宋体" w:hAnsi="宋体"/>
          <w:sz w:val="24"/>
          <w:szCs w:val="24"/>
        </w:rPr>
        <w:t>五、投标人不得采用不正当手段妨碍、排挤其他投标人，扰乱招标市场，破坏公平竞争。</w:t>
      </w:r>
    </w:p>
    <w:p>
      <w:pPr>
        <w:tabs>
          <w:tab w:val="left" w:pos="780"/>
        </w:tabs>
        <w:adjustRightInd w:val="0"/>
        <w:snapToGrid w:val="0"/>
        <w:spacing w:line="360" w:lineRule="auto"/>
        <w:ind w:firstLine="540" w:firstLineChars="225"/>
        <w:rPr>
          <w:rFonts w:ascii="宋体" w:hAnsi="宋体"/>
          <w:sz w:val="24"/>
          <w:szCs w:val="24"/>
        </w:rPr>
      </w:pPr>
      <w:r>
        <w:rPr>
          <w:rFonts w:ascii="宋体" w:hAnsi="宋体"/>
          <w:sz w:val="24"/>
          <w:szCs w:val="24"/>
        </w:rPr>
        <w:t>六、投标人不得以任何形式打听搜集评标机密，不得以任何形式干扰评标或授标工作。</w:t>
      </w:r>
    </w:p>
    <w:p>
      <w:pPr>
        <w:tabs>
          <w:tab w:val="left" w:pos="690"/>
          <w:tab w:val="left" w:pos="914"/>
        </w:tabs>
        <w:adjustRightInd w:val="0"/>
        <w:snapToGrid w:val="0"/>
        <w:spacing w:line="360" w:lineRule="auto"/>
        <w:ind w:firstLine="540" w:firstLineChars="225"/>
        <w:rPr>
          <w:rFonts w:ascii="宋体" w:hAnsi="宋体"/>
          <w:sz w:val="24"/>
          <w:szCs w:val="24"/>
        </w:rPr>
      </w:pPr>
      <w:r>
        <w:rPr>
          <w:rFonts w:ascii="宋体" w:hAnsi="宋体"/>
          <w:sz w:val="24"/>
          <w:szCs w:val="24"/>
        </w:rPr>
        <w:t>七、投标人若违反上述要求，其投标</w:t>
      </w:r>
      <w:r>
        <w:rPr>
          <w:rFonts w:hint="eastAsia" w:ascii="宋体" w:hAnsi="宋体"/>
          <w:sz w:val="24"/>
          <w:szCs w:val="24"/>
        </w:rPr>
        <w:t>资格</w:t>
      </w:r>
      <w:r>
        <w:rPr>
          <w:rFonts w:ascii="宋体" w:hAnsi="宋体"/>
          <w:sz w:val="24"/>
          <w:szCs w:val="24"/>
        </w:rPr>
        <w:t>将被废除。</w:t>
      </w:r>
    </w:p>
    <w:p>
      <w:pPr>
        <w:adjustRightInd w:val="0"/>
        <w:snapToGrid w:val="0"/>
        <w:spacing w:line="360" w:lineRule="auto"/>
        <w:jc w:val="center"/>
        <w:outlineLvl w:val="0"/>
        <w:rPr>
          <w:rFonts w:ascii="宋体" w:hAnsi="宋体"/>
          <w:b/>
          <w:bCs/>
          <w:sz w:val="36"/>
          <w:szCs w:val="36"/>
        </w:rPr>
      </w:pPr>
      <w:r>
        <w:rPr>
          <w:rFonts w:ascii="宋体" w:hAnsi="宋体"/>
          <w:b/>
          <w:bCs/>
          <w:sz w:val="24"/>
          <w:szCs w:val="24"/>
        </w:rPr>
        <w:br w:type="page"/>
      </w:r>
      <w:bookmarkStart w:id="37" w:name="_Toc325046387"/>
      <w:r>
        <w:rPr>
          <w:rFonts w:ascii="宋体" w:hAnsi="宋体"/>
          <w:b/>
          <w:bCs/>
          <w:sz w:val="36"/>
          <w:szCs w:val="36"/>
        </w:rPr>
        <w:t>第</w:t>
      </w:r>
      <w:r>
        <w:rPr>
          <w:rFonts w:hint="eastAsia" w:ascii="宋体" w:hAnsi="宋体"/>
          <w:b/>
          <w:bCs/>
          <w:sz w:val="36"/>
          <w:szCs w:val="36"/>
        </w:rPr>
        <w:t>八章</w:t>
      </w:r>
      <w:r>
        <w:rPr>
          <w:rFonts w:ascii="宋体" w:hAnsi="宋体"/>
          <w:b/>
          <w:bCs/>
          <w:sz w:val="36"/>
          <w:szCs w:val="36"/>
        </w:rPr>
        <w:t xml:space="preserve">  </w:t>
      </w:r>
      <w:r>
        <w:rPr>
          <w:rFonts w:hint="eastAsia" w:ascii="宋体" w:hAnsi="宋体"/>
          <w:b/>
          <w:bCs/>
          <w:sz w:val="36"/>
          <w:szCs w:val="36"/>
        </w:rPr>
        <w:t>招标文件相关格式附件</w:t>
      </w:r>
    </w:p>
    <w:bookmarkEnd w:id="37"/>
    <w:p>
      <w:pPr>
        <w:adjustRightInd w:val="0"/>
        <w:snapToGrid w:val="0"/>
        <w:spacing w:line="360" w:lineRule="auto"/>
        <w:ind w:firstLine="3463" w:firstLineChars="1078"/>
        <w:outlineLvl w:val="1"/>
        <w:rPr>
          <w:rFonts w:ascii="宋体" w:hAnsi="宋体"/>
          <w:b/>
          <w:bCs/>
          <w:sz w:val="32"/>
          <w:szCs w:val="32"/>
        </w:rPr>
      </w:pPr>
      <w:bookmarkStart w:id="38" w:name="_Toc325046388"/>
      <w:r>
        <w:rPr>
          <w:rFonts w:ascii="宋体" w:hAnsi="宋体"/>
          <w:b/>
          <w:bCs/>
          <w:sz w:val="32"/>
          <w:szCs w:val="32"/>
        </w:rPr>
        <w:t>附件一：投标书</w:t>
      </w:r>
      <w:bookmarkEnd w:id="38"/>
    </w:p>
    <w:p>
      <w:pPr>
        <w:pStyle w:val="10"/>
        <w:adjustRightInd w:val="0"/>
        <w:snapToGrid w:val="0"/>
        <w:spacing w:line="360" w:lineRule="auto"/>
        <w:rPr>
          <w:rFonts w:hAnsi="宋体"/>
          <w:kern w:val="0"/>
          <w:sz w:val="24"/>
          <w:szCs w:val="24"/>
        </w:rPr>
      </w:pPr>
    </w:p>
    <w:p>
      <w:pPr>
        <w:pStyle w:val="10"/>
        <w:adjustRightInd w:val="0"/>
        <w:snapToGrid w:val="0"/>
        <w:spacing w:line="360" w:lineRule="auto"/>
        <w:rPr>
          <w:rFonts w:hAnsi="宋体"/>
          <w:kern w:val="0"/>
          <w:sz w:val="24"/>
          <w:szCs w:val="24"/>
        </w:rPr>
      </w:pPr>
    </w:p>
    <w:p>
      <w:pPr>
        <w:pStyle w:val="10"/>
        <w:adjustRightInd w:val="0"/>
        <w:snapToGrid w:val="0"/>
        <w:spacing w:line="360" w:lineRule="auto"/>
        <w:rPr>
          <w:rFonts w:hAnsi="宋体"/>
          <w:b/>
          <w:bCs/>
          <w:sz w:val="24"/>
          <w:szCs w:val="24"/>
          <w:u w:val="single"/>
        </w:rPr>
      </w:pPr>
      <w:r>
        <w:rPr>
          <w:rFonts w:hAnsi="宋体"/>
          <w:kern w:val="0"/>
          <w:sz w:val="24"/>
          <w:szCs w:val="24"/>
        </w:rPr>
        <w:t>致：（招标方名称）</w:t>
      </w:r>
      <w:r>
        <w:rPr>
          <w:rFonts w:hAnsi="宋体"/>
          <w:kern w:val="0"/>
          <w:sz w:val="24"/>
          <w:szCs w:val="24"/>
          <w:u w:val="single"/>
        </w:rPr>
        <w:t xml:space="preserve">                           </w:t>
      </w:r>
    </w:p>
    <w:p>
      <w:pPr>
        <w:adjustRightInd w:val="0"/>
        <w:snapToGrid w:val="0"/>
        <w:spacing w:line="360" w:lineRule="auto"/>
        <w:ind w:firstLine="540" w:firstLineChars="225"/>
        <w:rPr>
          <w:rFonts w:ascii="宋体" w:hAnsi="宋体"/>
          <w:sz w:val="24"/>
          <w:szCs w:val="24"/>
        </w:rPr>
      </w:pPr>
      <w:r>
        <w:rPr>
          <w:rFonts w:hAnsi="宋体"/>
          <w:sz w:val="24"/>
          <w:szCs w:val="24"/>
        </w:rPr>
        <w:t>根据贵方招标文件，经仔细阅读和研究后，我方决定参加投标，以便获取</w:t>
      </w:r>
      <w:r>
        <w:rPr>
          <w:rFonts w:hAnsi="宋体"/>
          <w:sz w:val="24"/>
          <w:szCs w:val="24"/>
          <w:u w:val="single"/>
        </w:rPr>
        <w:t xml:space="preserve">         </w:t>
      </w:r>
      <w:r>
        <w:rPr>
          <w:rFonts w:hAnsi="宋体"/>
          <w:sz w:val="24"/>
          <w:szCs w:val="24"/>
        </w:rPr>
        <w:t>项目中标资格，</w:t>
      </w:r>
      <w:r>
        <w:rPr>
          <w:rFonts w:hAnsi="宋体"/>
          <w:sz w:val="24"/>
          <w:szCs w:val="24"/>
          <w:u w:val="single"/>
        </w:rPr>
        <w:t xml:space="preserve">                   （</w:t>
      </w:r>
      <w:r>
        <w:rPr>
          <w:rFonts w:hAnsi="宋体"/>
          <w:sz w:val="24"/>
          <w:szCs w:val="24"/>
        </w:rPr>
        <w:t>签字代表（姓名和职务））经正式授权并代表</w:t>
      </w:r>
      <w:r>
        <w:rPr>
          <w:rFonts w:hAnsi="宋体"/>
          <w:sz w:val="24"/>
          <w:szCs w:val="24"/>
          <w:u w:val="single"/>
        </w:rPr>
        <w:t xml:space="preserve">                                   </w:t>
      </w:r>
      <w:r>
        <w:rPr>
          <w:rFonts w:hAnsi="宋体"/>
          <w:sz w:val="24"/>
          <w:szCs w:val="24"/>
        </w:rPr>
        <w:t>（投标者名称和地址）提交</w:t>
      </w:r>
      <w:r>
        <w:rPr>
          <w:rFonts w:hint="eastAsia" w:hAnsi="宋体"/>
          <w:sz w:val="24"/>
          <w:szCs w:val="24"/>
        </w:rPr>
        <w:t>投标文件及</w:t>
      </w:r>
      <w:r>
        <w:rPr>
          <w:rFonts w:ascii="宋体" w:hAnsi="宋体"/>
          <w:sz w:val="24"/>
          <w:szCs w:val="24"/>
        </w:rPr>
        <w:t>招标文件中有相应要求的其他材料。</w:t>
      </w:r>
    </w:p>
    <w:p>
      <w:pPr>
        <w:pStyle w:val="10"/>
        <w:adjustRightInd w:val="0"/>
        <w:snapToGrid w:val="0"/>
        <w:spacing w:line="360" w:lineRule="auto"/>
        <w:ind w:firstLine="540" w:firstLineChars="225"/>
        <w:rPr>
          <w:rFonts w:hAnsi="宋体"/>
          <w:sz w:val="24"/>
          <w:szCs w:val="24"/>
        </w:rPr>
      </w:pPr>
      <w:r>
        <w:rPr>
          <w:rFonts w:hAnsi="宋体"/>
          <w:sz w:val="24"/>
          <w:szCs w:val="24"/>
        </w:rPr>
        <w:t>据此函，投标人宣布如下：</w:t>
      </w:r>
    </w:p>
    <w:p>
      <w:pPr>
        <w:pStyle w:val="10"/>
        <w:adjustRightInd w:val="0"/>
        <w:snapToGrid w:val="0"/>
        <w:spacing w:line="360" w:lineRule="auto"/>
        <w:ind w:firstLine="540" w:firstLineChars="225"/>
        <w:rPr>
          <w:rFonts w:hAnsi="宋体"/>
          <w:sz w:val="24"/>
          <w:szCs w:val="24"/>
        </w:rPr>
      </w:pPr>
      <w:r>
        <w:rPr>
          <w:rFonts w:hAnsi="宋体"/>
          <w:sz w:val="24"/>
          <w:szCs w:val="24"/>
        </w:rPr>
        <w:t>1</w:t>
      </w:r>
      <w:r>
        <w:rPr>
          <w:rFonts w:hint="eastAsia" w:hAnsi="宋体"/>
          <w:sz w:val="24"/>
          <w:szCs w:val="24"/>
        </w:rPr>
        <w:t xml:space="preserve">. </w:t>
      </w:r>
      <w:r>
        <w:rPr>
          <w:rFonts w:hAnsi="宋体"/>
          <w:sz w:val="24"/>
          <w:szCs w:val="24"/>
        </w:rPr>
        <w:t>我们将按招标文件的规定履行合同责任和义务。</w:t>
      </w:r>
    </w:p>
    <w:p>
      <w:pPr>
        <w:pStyle w:val="10"/>
        <w:adjustRightInd w:val="0"/>
        <w:snapToGrid w:val="0"/>
        <w:spacing w:line="360" w:lineRule="auto"/>
        <w:ind w:firstLine="540" w:firstLineChars="225"/>
        <w:rPr>
          <w:rFonts w:hAnsi="宋体"/>
          <w:sz w:val="24"/>
          <w:szCs w:val="24"/>
        </w:rPr>
      </w:pPr>
      <w:r>
        <w:rPr>
          <w:rFonts w:hAnsi="宋体"/>
          <w:sz w:val="24"/>
          <w:szCs w:val="24"/>
        </w:rPr>
        <w:t>2</w:t>
      </w:r>
      <w:r>
        <w:rPr>
          <w:rFonts w:hint="eastAsia" w:hAnsi="宋体"/>
          <w:sz w:val="24"/>
          <w:szCs w:val="24"/>
        </w:rPr>
        <w:t xml:space="preserve">. </w:t>
      </w:r>
      <w:r>
        <w:rPr>
          <w:rFonts w:hAnsi="宋体"/>
          <w:sz w:val="24"/>
          <w:szCs w:val="24"/>
        </w:rPr>
        <w:t>我们已详细阅读了全部招标文件，包括修改文件（如有的话）以及全部参考资料和有关附件，并完全知道必须放弃在这方面提出含糊不清或误解的一切权利。</w:t>
      </w:r>
    </w:p>
    <w:p>
      <w:pPr>
        <w:pStyle w:val="10"/>
        <w:adjustRightInd w:val="0"/>
        <w:snapToGrid w:val="0"/>
        <w:spacing w:line="360" w:lineRule="auto"/>
        <w:ind w:firstLine="540" w:firstLineChars="225"/>
        <w:rPr>
          <w:rFonts w:hAnsi="宋体"/>
          <w:sz w:val="24"/>
          <w:szCs w:val="24"/>
        </w:rPr>
      </w:pPr>
      <w:r>
        <w:rPr>
          <w:rFonts w:hAnsi="宋体"/>
          <w:sz w:val="24"/>
          <w:szCs w:val="24"/>
        </w:rPr>
        <w:t>3</w:t>
      </w:r>
      <w:r>
        <w:rPr>
          <w:rFonts w:hint="eastAsia" w:hAnsi="宋体"/>
          <w:sz w:val="24"/>
          <w:szCs w:val="24"/>
        </w:rPr>
        <w:t xml:space="preserve">. </w:t>
      </w:r>
      <w:r>
        <w:rPr>
          <w:rFonts w:hAnsi="宋体"/>
          <w:sz w:val="24"/>
          <w:szCs w:val="24"/>
        </w:rPr>
        <w:t>本投标文件自开标之日起有效期为</w:t>
      </w:r>
      <w:r>
        <w:rPr>
          <w:rFonts w:hAnsi="宋体"/>
          <w:sz w:val="24"/>
          <w:szCs w:val="24"/>
          <w:u w:val="single"/>
        </w:rPr>
        <w:t>90</w:t>
      </w:r>
      <w:r>
        <w:rPr>
          <w:rFonts w:hAnsi="宋体"/>
          <w:sz w:val="24"/>
          <w:szCs w:val="24"/>
        </w:rPr>
        <w:t>天。</w:t>
      </w:r>
    </w:p>
    <w:p>
      <w:pPr>
        <w:pStyle w:val="10"/>
        <w:adjustRightInd w:val="0"/>
        <w:snapToGrid w:val="0"/>
        <w:spacing w:line="360" w:lineRule="auto"/>
        <w:ind w:firstLine="540" w:firstLineChars="225"/>
        <w:rPr>
          <w:rFonts w:hAnsi="宋体"/>
          <w:sz w:val="24"/>
          <w:szCs w:val="24"/>
        </w:rPr>
      </w:pPr>
      <w:r>
        <w:rPr>
          <w:rFonts w:hAnsi="宋体"/>
          <w:sz w:val="24"/>
          <w:szCs w:val="24"/>
        </w:rPr>
        <w:t>4</w:t>
      </w:r>
      <w:r>
        <w:rPr>
          <w:rFonts w:hint="eastAsia" w:hAnsi="宋体"/>
          <w:sz w:val="24"/>
          <w:szCs w:val="24"/>
        </w:rPr>
        <w:t xml:space="preserve">. </w:t>
      </w:r>
      <w:r>
        <w:rPr>
          <w:rFonts w:hAnsi="宋体"/>
          <w:sz w:val="24"/>
          <w:szCs w:val="24"/>
        </w:rPr>
        <w:t>作为投标单位，我们保证遵守商业秘密和职业道德，不以任何形式在任何时间对外泄露有关本次招标的内容。</w:t>
      </w:r>
    </w:p>
    <w:p>
      <w:pPr>
        <w:pStyle w:val="10"/>
        <w:adjustRightInd w:val="0"/>
        <w:snapToGrid w:val="0"/>
        <w:spacing w:line="360" w:lineRule="auto"/>
        <w:ind w:firstLine="540" w:firstLineChars="225"/>
        <w:rPr>
          <w:rFonts w:hAnsi="宋体"/>
          <w:sz w:val="24"/>
          <w:szCs w:val="24"/>
        </w:rPr>
      </w:pPr>
      <w:r>
        <w:rPr>
          <w:rFonts w:hAnsi="宋体"/>
          <w:sz w:val="24"/>
          <w:szCs w:val="24"/>
        </w:rPr>
        <w:t>5</w:t>
      </w:r>
      <w:r>
        <w:rPr>
          <w:rFonts w:hint="eastAsia" w:hAnsi="宋体"/>
          <w:sz w:val="24"/>
          <w:szCs w:val="24"/>
        </w:rPr>
        <w:t xml:space="preserve">. </w:t>
      </w:r>
      <w:r>
        <w:rPr>
          <w:rFonts w:hAnsi="宋体"/>
          <w:sz w:val="24"/>
          <w:szCs w:val="24"/>
        </w:rPr>
        <w:t>我们知道并承诺同意如不正式签订合同（签字、盖章），本次招标结果对双方无任何约束力，双方同意有关纠纷由招标方所在地有管辖权的法院管辖。</w:t>
      </w:r>
    </w:p>
    <w:p>
      <w:pPr>
        <w:pStyle w:val="10"/>
        <w:adjustRightInd w:val="0"/>
        <w:snapToGrid w:val="0"/>
        <w:spacing w:line="360" w:lineRule="auto"/>
        <w:ind w:right="900" w:firstLine="6960" w:firstLineChars="2900"/>
        <w:rPr>
          <w:rFonts w:hAnsi="宋体"/>
          <w:sz w:val="24"/>
          <w:szCs w:val="24"/>
        </w:rPr>
      </w:pPr>
    </w:p>
    <w:p>
      <w:pPr>
        <w:pStyle w:val="10"/>
        <w:adjustRightInd w:val="0"/>
        <w:snapToGrid w:val="0"/>
        <w:spacing w:line="360" w:lineRule="auto"/>
        <w:ind w:right="900" w:firstLine="6960" w:firstLineChars="2900"/>
        <w:rPr>
          <w:rFonts w:hAnsi="宋体"/>
          <w:sz w:val="24"/>
          <w:szCs w:val="24"/>
        </w:rPr>
      </w:pPr>
    </w:p>
    <w:p>
      <w:pPr>
        <w:pStyle w:val="10"/>
        <w:adjustRightInd w:val="0"/>
        <w:snapToGrid w:val="0"/>
        <w:spacing w:line="360" w:lineRule="auto"/>
        <w:ind w:right="900" w:firstLine="6960" w:firstLineChars="2900"/>
        <w:rPr>
          <w:rFonts w:hAnsi="宋体"/>
          <w:sz w:val="24"/>
          <w:szCs w:val="24"/>
        </w:rPr>
      </w:pPr>
    </w:p>
    <w:p>
      <w:pPr>
        <w:pStyle w:val="10"/>
        <w:adjustRightInd w:val="0"/>
        <w:snapToGrid w:val="0"/>
        <w:spacing w:line="360" w:lineRule="auto"/>
        <w:ind w:right="900" w:firstLine="6960" w:firstLineChars="2900"/>
        <w:rPr>
          <w:rFonts w:hAnsi="宋体"/>
          <w:sz w:val="24"/>
          <w:szCs w:val="24"/>
        </w:rPr>
      </w:pPr>
    </w:p>
    <w:p>
      <w:pPr>
        <w:pStyle w:val="10"/>
        <w:adjustRightInd w:val="0"/>
        <w:snapToGrid w:val="0"/>
        <w:spacing w:line="360" w:lineRule="auto"/>
        <w:ind w:right="900" w:firstLine="6960" w:firstLineChars="2900"/>
        <w:rPr>
          <w:rFonts w:hAnsi="宋体"/>
          <w:sz w:val="24"/>
          <w:szCs w:val="24"/>
          <w:u w:val="single"/>
        </w:rPr>
      </w:pPr>
      <w:bookmarkStart w:id="39" w:name="_Toc135297878"/>
      <w:bookmarkStart w:id="40" w:name="_Toc138428770"/>
      <w:bookmarkStart w:id="41" w:name="_Toc139173744"/>
      <w:bookmarkStart w:id="42" w:name="_Toc138428762"/>
      <w:bookmarkStart w:id="43" w:name="_Toc139173738"/>
      <w:r>
        <w:rPr>
          <w:rFonts w:hAnsi="宋体"/>
          <w:sz w:val="24"/>
          <w:szCs w:val="24"/>
        </w:rPr>
        <w:t>投标人：（公章）</w:t>
      </w:r>
      <w:r>
        <w:rPr>
          <w:rFonts w:hint="eastAsia" w:hAnsi="宋体"/>
          <w:sz w:val="24"/>
          <w:szCs w:val="24"/>
          <w:u w:val="single"/>
        </w:rPr>
        <w:t xml:space="preserve">                     </w:t>
      </w:r>
    </w:p>
    <w:p>
      <w:pPr>
        <w:adjustRightInd w:val="0"/>
        <w:snapToGrid w:val="0"/>
        <w:spacing w:line="360" w:lineRule="auto"/>
        <w:jc w:val="right"/>
        <w:rPr>
          <w:rFonts w:ascii="宋体" w:hAnsi="宋体"/>
          <w:sz w:val="24"/>
          <w:szCs w:val="24"/>
        </w:rPr>
      </w:pPr>
      <w:r>
        <w:rPr>
          <w:rFonts w:ascii="宋体" w:hAnsi="宋体"/>
          <w:sz w:val="24"/>
          <w:szCs w:val="24"/>
        </w:rPr>
        <w:t xml:space="preserve">                                       年   月   日</w:t>
      </w:r>
    </w:p>
    <w:p>
      <w:pPr>
        <w:adjustRightInd w:val="0"/>
        <w:snapToGrid w:val="0"/>
        <w:spacing w:line="360" w:lineRule="auto"/>
        <w:jc w:val="center"/>
        <w:outlineLvl w:val="1"/>
        <w:rPr>
          <w:rFonts w:ascii="宋体" w:hAnsi="宋体"/>
          <w:b/>
          <w:bCs/>
          <w:sz w:val="24"/>
          <w:szCs w:val="24"/>
        </w:rPr>
      </w:pPr>
      <w:r>
        <w:rPr>
          <w:rFonts w:ascii="宋体" w:hAnsi="宋体"/>
          <w:b/>
          <w:bCs/>
          <w:sz w:val="24"/>
          <w:szCs w:val="24"/>
        </w:rPr>
        <w:br w:type="page"/>
      </w:r>
      <w:bookmarkStart w:id="44" w:name="_Toc325046389"/>
    </w:p>
    <w:p>
      <w:pPr>
        <w:adjustRightInd w:val="0"/>
        <w:snapToGrid w:val="0"/>
        <w:spacing w:line="360" w:lineRule="auto"/>
        <w:jc w:val="center"/>
        <w:outlineLvl w:val="1"/>
        <w:rPr>
          <w:rFonts w:ascii="宋体" w:hAnsi="宋体"/>
          <w:b/>
          <w:bCs/>
          <w:sz w:val="32"/>
          <w:szCs w:val="32"/>
        </w:rPr>
      </w:pPr>
    </w:p>
    <w:p>
      <w:pPr>
        <w:adjustRightInd w:val="0"/>
        <w:snapToGrid w:val="0"/>
        <w:spacing w:line="360" w:lineRule="auto"/>
        <w:jc w:val="center"/>
        <w:outlineLvl w:val="1"/>
        <w:rPr>
          <w:rFonts w:ascii="宋体" w:hAnsi="宋体"/>
          <w:b/>
          <w:bCs/>
          <w:sz w:val="32"/>
          <w:szCs w:val="32"/>
        </w:rPr>
      </w:pPr>
      <w:r>
        <w:rPr>
          <w:rFonts w:ascii="宋体" w:hAnsi="宋体"/>
          <w:b/>
          <w:bCs/>
          <w:sz w:val="32"/>
          <w:szCs w:val="32"/>
        </w:rPr>
        <w:t>附件二：</w:t>
      </w:r>
      <w:bookmarkStart w:id="45" w:name="_Toc277951748"/>
      <w:r>
        <w:rPr>
          <w:rFonts w:ascii="宋体" w:hAnsi="宋体"/>
          <w:b/>
          <w:bCs/>
          <w:sz w:val="32"/>
          <w:szCs w:val="32"/>
        </w:rPr>
        <w:t>开标一览表</w:t>
      </w:r>
      <w:bookmarkEnd w:id="44"/>
      <w:bookmarkEnd w:id="45"/>
    </w:p>
    <w:bookmarkEnd w:id="39"/>
    <w:bookmarkEnd w:id="40"/>
    <w:bookmarkEnd w:id="41"/>
    <w:p>
      <w:pPr>
        <w:spacing w:line="360" w:lineRule="exact"/>
        <w:rPr>
          <w:rFonts w:ascii="宋体" w:hAnsi="宋体" w:cs="宋体"/>
          <w:szCs w:val="21"/>
        </w:rPr>
      </w:pPr>
    </w:p>
    <w:p>
      <w:pPr>
        <w:spacing w:line="360" w:lineRule="exact"/>
        <w:rPr>
          <w:rFonts w:ascii="宋体" w:hAnsi="宋体" w:cs="宋体"/>
          <w:szCs w:val="21"/>
        </w:rPr>
      </w:pPr>
    </w:p>
    <w:p>
      <w:pPr>
        <w:spacing w:line="360" w:lineRule="exact"/>
        <w:rPr>
          <w:rFonts w:ascii="宋体" w:hAnsi="宋体" w:cs="宋体"/>
          <w:szCs w:val="21"/>
        </w:rPr>
      </w:pPr>
    </w:p>
    <w:p>
      <w:pPr>
        <w:spacing w:line="360" w:lineRule="exact"/>
        <w:rPr>
          <w:rFonts w:ascii="宋体" w:hAnsi="宋体" w:cs="宋体"/>
          <w:szCs w:val="21"/>
          <w:u w:val="single"/>
        </w:rPr>
      </w:pPr>
      <w:r>
        <w:rPr>
          <w:rFonts w:hint="eastAsia" w:ascii="宋体" w:hAnsi="宋体" w:cs="宋体"/>
          <w:szCs w:val="21"/>
        </w:rPr>
        <w:t>招标文件编号：</w:t>
      </w:r>
      <w:r>
        <w:rPr>
          <w:rFonts w:hint="eastAsia" w:ascii="宋体" w:hAnsi="宋体" w:cs="宋体"/>
          <w:szCs w:val="21"/>
          <w:u w:val="single"/>
        </w:rPr>
        <w:t xml:space="preserve">             </w:t>
      </w:r>
    </w:p>
    <w:p>
      <w:pPr>
        <w:spacing w:line="360" w:lineRule="exact"/>
        <w:rPr>
          <w:rFonts w:ascii="宋体" w:hAnsi="宋体" w:cs="宋体"/>
          <w:b/>
          <w:szCs w:val="21"/>
          <w:u w:val="single"/>
        </w:rPr>
      </w:pPr>
      <w:r>
        <w:rPr>
          <w:rFonts w:hint="eastAsia" w:ascii="宋体" w:hAnsi="宋体" w:cs="宋体"/>
          <w:szCs w:val="21"/>
        </w:rPr>
        <w:t>投标标段名称</w:t>
      </w:r>
      <w:r>
        <w:rPr>
          <w:rFonts w:hint="eastAsia" w:ascii="宋体" w:hAnsi="宋体" w:cs="宋体"/>
          <w:b/>
          <w:szCs w:val="21"/>
        </w:rPr>
        <w:t>：</w:t>
      </w:r>
      <w:r>
        <w:rPr>
          <w:rFonts w:hint="eastAsia" w:ascii="宋体" w:hAnsi="宋体" w:cs="宋体"/>
          <w:b/>
          <w:szCs w:val="21"/>
          <w:u w:val="single"/>
        </w:rPr>
        <w:t xml:space="preserve">             </w:t>
      </w:r>
    </w:p>
    <w:p>
      <w:pPr>
        <w:spacing w:line="360" w:lineRule="exact"/>
        <w:rPr>
          <w:rFonts w:ascii="宋体" w:hAnsi="宋体" w:cs="宋体"/>
          <w:b/>
          <w:szCs w:val="21"/>
          <w:u w:val="single"/>
        </w:rPr>
      </w:pPr>
    </w:p>
    <w:tbl>
      <w:tblPr>
        <w:tblStyle w:val="24"/>
        <w:tblW w:w="8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158"/>
        <w:gridCol w:w="3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cs="宋体"/>
                <w:szCs w:val="21"/>
              </w:rPr>
            </w:pPr>
            <w:r>
              <w:rPr>
                <w:rFonts w:hint="eastAsia" w:ascii="宋体" w:hAnsi="宋体" w:cs="宋体"/>
                <w:szCs w:val="21"/>
              </w:rPr>
              <w:t>序号</w:t>
            </w:r>
          </w:p>
        </w:tc>
        <w:tc>
          <w:tcPr>
            <w:tcW w:w="4158" w:type="dxa"/>
            <w:tcBorders>
              <w:top w:val="single" w:color="auto" w:sz="4" w:space="0"/>
              <w:left w:val="single" w:color="auto" w:sz="4" w:space="0"/>
              <w:bottom w:val="single" w:color="auto" w:sz="4" w:space="0"/>
              <w:right w:val="single" w:color="auto" w:sz="4" w:space="0"/>
            </w:tcBorders>
            <w:vAlign w:val="center"/>
          </w:tcPr>
          <w:p>
            <w:pPr>
              <w:spacing w:line="360" w:lineRule="exact"/>
              <w:ind w:firstLine="1825" w:firstLineChars="869"/>
              <w:rPr>
                <w:rFonts w:ascii="宋体" w:hAnsi="宋体" w:cs="宋体"/>
                <w:szCs w:val="21"/>
              </w:rPr>
            </w:pPr>
            <w:r>
              <w:rPr>
                <w:rFonts w:hint="eastAsia" w:ascii="宋体" w:hAnsi="宋体" w:cs="宋体"/>
                <w:szCs w:val="21"/>
              </w:rPr>
              <w:t>项目</w:t>
            </w:r>
          </w:p>
        </w:tc>
        <w:tc>
          <w:tcPr>
            <w:tcW w:w="3063" w:type="dxa"/>
            <w:tcBorders>
              <w:top w:val="single" w:color="auto" w:sz="4" w:space="0"/>
              <w:left w:val="single" w:color="auto" w:sz="4" w:space="0"/>
              <w:bottom w:val="single" w:color="auto" w:sz="4" w:space="0"/>
              <w:right w:val="single" w:color="auto" w:sz="4" w:space="0"/>
            </w:tcBorders>
            <w:vAlign w:val="center"/>
          </w:tcPr>
          <w:p>
            <w:pPr>
              <w:spacing w:line="360" w:lineRule="exact"/>
              <w:ind w:firstLine="1226" w:firstLineChars="584"/>
              <w:rPr>
                <w:rFonts w:ascii="宋体" w:hAnsi="宋体" w:cs="宋体"/>
                <w:szCs w:val="21"/>
              </w:rPr>
            </w:pPr>
            <w:r>
              <w:rPr>
                <w:rFonts w:hint="eastAsia" w:ascii="宋体" w:hAnsi="宋体" w:cs="宋体"/>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r>
              <w:rPr>
                <w:rFonts w:hint="eastAsia" w:ascii="宋体" w:hAnsi="宋体" w:cs="宋体"/>
                <w:szCs w:val="21"/>
              </w:rPr>
              <w:t>1</w:t>
            </w:r>
          </w:p>
        </w:tc>
        <w:tc>
          <w:tcPr>
            <w:tcW w:w="41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宋体" w:hAnsi="宋体" w:cs="宋体"/>
                <w:szCs w:val="21"/>
              </w:rPr>
            </w:pPr>
            <w:r>
              <w:rPr>
                <w:rFonts w:hint="eastAsia" w:ascii="宋体" w:hAnsi="宋体" w:cs="宋体"/>
                <w:szCs w:val="21"/>
              </w:rPr>
              <w:t>投标总价</w:t>
            </w:r>
          </w:p>
        </w:tc>
        <w:tc>
          <w:tcPr>
            <w:tcW w:w="30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r>
              <w:rPr>
                <w:rFonts w:hint="eastAsia" w:ascii="宋体" w:hAnsi="宋体" w:cs="宋体"/>
                <w:szCs w:val="21"/>
              </w:rPr>
              <w:t>2</w:t>
            </w:r>
          </w:p>
        </w:tc>
        <w:tc>
          <w:tcPr>
            <w:tcW w:w="41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宋体" w:hAnsi="宋体" w:cs="宋体"/>
                <w:szCs w:val="21"/>
              </w:rPr>
            </w:pPr>
            <w:r>
              <w:rPr>
                <w:rFonts w:hint="eastAsia" w:ascii="宋体" w:hAnsi="宋体" w:cs="宋体"/>
                <w:szCs w:val="21"/>
              </w:rPr>
              <w:t>投标保证金</w:t>
            </w:r>
          </w:p>
        </w:tc>
        <w:tc>
          <w:tcPr>
            <w:tcW w:w="30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8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r>
              <w:rPr>
                <w:rFonts w:hint="eastAsia" w:ascii="宋体" w:hAnsi="宋体" w:cs="宋体"/>
                <w:szCs w:val="21"/>
              </w:rPr>
              <w:t>3</w:t>
            </w:r>
          </w:p>
        </w:tc>
        <w:tc>
          <w:tcPr>
            <w:tcW w:w="41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宋体" w:hAnsi="宋体" w:cs="宋体"/>
                <w:szCs w:val="21"/>
              </w:rPr>
            </w:pPr>
            <w:r>
              <w:rPr>
                <w:rFonts w:hint="eastAsia" w:ascii="宋体" w:hAnsi="宋体" w:cs="宋体"/>
                <w:szCs w:val="21"/>
              </w:rPr>
              <w:t>工期</w:t>
            </w:r>
          </w:p>
        </w:tc>
        <w:tc>
          <w:tcPr>
            <w:tcW w:w="30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r>
              <w:rPr>
                <w:rFonts w:hint="eastAsia" w:ascii="宋体" w:hAnsi="宋体" w:cs="宋体"/>
                <w:szCs w:val="21"/>
              </w:rPr>
              <w:t>4</w:t>
            </w:r>
          </w:p>
        </w:tc>
        <w:tc>
          <w:tcPr>
            <w:tcW w:w="41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rPr>
                <w:rFonts w:ascii="宋体" w:hAnsi="宋体" w:cs="宋体"/>
                <w:szCs w:val="21"/>
              </w:rPr>
            </w:pPr>
            <w:r>
              <w:rPr>
                <w:rFonts w:hint="eastAsia" w:ascii="宋体" w:hAnsi="宋体" w:cs="宋体"/>
                <w:szCs w:val="21"/>
              </w:rPr>
              <w:t>任何投标申明（如果有）</w:t>
            </w:r>
          </w:p>
        </w:tc>
        <w:tc>
          <w:tcPr>
            <w:tcW w:w="30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p>
        </w:tc>
        <w:tc>
          <w:tcPr>
            <w:tcW w:w="41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p>
        </w:tc>
        <w:tc>
          <w:tcPr>
            <w:tcW w:w="30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szCs w:val="21"/>
              </w:rPr>
            </w:pPr>
          </w:p>
        </w:tc>
      </w:tr>
    </w:tbl>
    <w:p>
      <w:pPr>
        <w:spacing w:line="360" w:lineRule="exact"/>
        <w:ind w:left="735" w:hanging="735" w:hangingChars="350"/>
        <w:rPr>
          <w:rFonts w:ascii="宋体" w:hAnsi="宋体" w:cs="宋体"/>
          <w:szCs w:val="21"/>
        </w:rPr>
      </w:pPr>
      <w:r>
        <w:rPr>
          <w:rFonts w:hint="eastAsia" w:ascii="宋体" w:hAnsi="宋体" w:cs="宋体"/>
          <w:szCs w:val="21"/>
        </w:rPr>
        <w:t>注：1. 此表应同时装订在投标文件的相应部分；</w:t>
      </w:r>
    </w:p>
    <w:p>
      <w:pPr>
        <w:spacing w:line="360" w:lineRule="exact"/>
        <w:ind w:left="735" w:hanging="735" w:hangingChars="350"/>
        <w:rPr>
          <w:rFonts w:ascii="宋体" w:hAnsi="宋体" w:cs="宋体"/>
          <w:szCs w:val="21"/>
        </w:rPr>
      </w:pPr>
      <w:r>
        <w:rPr>
          <w:rFonts w:hint="eastAsia" w:ascii="宋体" w:hAnsi="宋体" w:cs="宋体"/>
          <w:szCs w:val="21"/>
        </w:rPr>
        <w:t xml:space="preserve">    2. 任何投标申明，应填写在此表内。</w:t>
      </w:r>
    </w:p>
    <w:p>
      <w:pPr>
        <w:spacing w:line="360" w:lineRule="exact"/>
        <w:ind w:left="735" w:hanging="735" w:hangingChars="350"/>
        <w:rPr>
          <w:rFonts w:ascii="宋体" w:hAnsi="宋体" w:cs="宋体"/>
          <w:szCs w:val="21"/>
        </w:rPr>
      </w:pPr>
    </w:p>
    <w:p>
      <w:pPr>
        <w:spacing w:line="360" w:lineRule="exact"/>
        <w:ind w:left="735" w:hanging="735" w:hangingChars="350"/>
        <w:rPr>
          <w:rFonts w:ascii="宋体" w:hAnsi="宋体" w:cs="宋体"/>
          <w:szCs w:val="21"/>
        </w:rPr>
      </w:pPr>
    </w:p>
    <w:p>
      <w:pPr>
        <w:spacing w:line="360" w:lineRule="exact"/>
        <w:ind w:left="735" w:hanging="735" w:hangingChars="350"/>
        <w:rPr>
          <w:rFonts w:ascii="宋体" w:hAnsi="宋体" w:cs="宋体"/>
          <w:szCs w:val="21"/>
        </w:rPr>
      </w:pPr>
    </w:p>
    <w:p>
      <w:pPr>
        <w:spacing w:line="360" w:lineRule="exact"/>
        <w:ind w:left="735" w:hanging="735" w:hangingChars="350"/>
        <w:rPr>
          <w:rFonts w:ascii="宋体" w:hAnsi="宋体" w:cs="宋体"/>
          <w:szCs w:val="21"/>
        </w:rPr>
      </w:pPr>
    </w:p>
    <w:p>
      <w:pPr>
        <w:spacing w:beforeLines="50" w:afterLines="50" w:line="520" w:lineRule="exact"/>
        <w:ind w:firstLine="4253" w:firstLineChars="2025"/>
        <w:rPr>
          <w:rFonts w:ascii="宋体" w:hAnsi="宋体" w:cs="宋体"/>
          <w:szCs w:val="21"/>
        </w:rPr>
      </w:pPr>
      <w:r>
        <w:rPr>
          <w:rFonts w:hint="eastAsia" w:ascii="宋体" w:hAnsi="宋体" w:cs="宋体"/>
          <w:szCs w:val="21"/>
        </w:rPr>
        <w:t>投标人名称（盖 章）：</w:t>
      </w:r>
      <w:r>
        <w:rPr>
          <w:rFonts w:hint="eastAsia" w:ascii="宋体" w:hAnsi="宋体" w:cs="宋体"/>
          <w:szCs w:val="21"/>
          <w:u w:val="single"/>
        </w:rPr>
        <w:t xml:space="preserve">                                 </w:t>
      </w:r>
    </w:p>
    <w:p>
      <w:pPr>
        <w:spacing w:line="360" w:lineRule="exact"/>
        <w:rPr>
          <w:rFonts w:ascii="宋体" w:hAnsi="宋体" w:cs="宋体"/>
          <w:b/>
          <w:szCs w:val="21"/>
        </w:rPr>
      </w:pPr>
      <w:r>
        <w:rPr>
          <w:rFonts w:hint="eastAsia" w:ascii="宋体" w:hAnsi="宋体" w:cs="宋体"/>
          <w:szCs w:val="21"/>
        </w:rPr>
        <w:t xml:space="preserve">                                        法定代表人或授权代表（签 字）：</w:t>
      </w:r>
      <w:r>
        <w:rPr>
          <w:rFonts w:hint="eastAsia" w:ascii="宋体" w:hAnsi="宋体" w:cs="宋体"/>
          <w:szCs w:val="21"/>
          <w:u w:val="single"/>
        </w:rPr>
        <w:t xml:space="preserve">                      </w:t>
      </w:r>
    </w:p>
    <w:p>
      <w:pPr>
        <w:autoSpaceDE w:val="0"/>
        <w:autoSpaceDN w:val="0"/>
        <w:adjustRightInd w:val="0"/>
        <w:spacing w:line="500" w:lineRule="exact"/>
        <w:ind w:firstLine="462" w:firstLineChars="220"/>
        <w:rPr>
          <w:rFonts w:ascii="宋体" w:hAnsi="宋体" w:cs="宋体"/>
          <w:szCs w:val="21"/>
        </w:rPr>
      </w:pPr>
      <w:r>
        <w:rPr>
          <w:rFonts w:hint="eastAsia" w:ascii="宋体" w:hAnsi="宋体" w:cs="宋体"/>
          <w:szCs w:val="21"/>
        </w:rPr>
        <w:t xml:space="preserve">  </w:t>
      </w:r>
    </w:p>
    <w:p>
      <w:pPr>
        <w:tabs>
          <w:tab w:val="left" w:pos="7020"/>
          <w:tab w:val="left" w:pos="9000"/>
        </w:tabs>
        <w:autoSpaceDE w:val="0"/>
        <w:autoSpaceDN w:val="0"/>
        <w:adjustRightInd w:val="0"/>
        <w:spacing w:line="360" w:lineRule="auto"/>
        <w:rPr>
          <w:rFonts w:ascii="宋体" w:hAnsi="宋体"/>
          <w:b/>
          <w:sz w:val="24"/>
          <w:szCs w:val="24"/>
        </w:rPr>
      </w:pPr>
    </w:p>
    <w:p>
      <w:pPr>
        <w:tabs>
          <w:tab w:val="left" w:pos="7020"/>
          <w:tab w:val="left" w:pos="9000"/>
        </w:tabs>
        <w:autoSpaceDE w:val="0"/>
        <w:autoSpaceDN w:val="0"/>
        <w:adjustRightInd w:val="0"/>
        <w:spacing w:line="360" w:lineRule="auto"/>
        <w:rPr>
          <w:rFonts w:ascii="宋体" w:hAnsi="宋体"/>
          <w:b/>
          <w:sz w:val="24"/>
          <w:szCs w:val="24"/>
        </w:rPr>
      </w:pPr>
    </w:p>
    <w:p>
      <w:pPr>
        <w:tabs>
          <w:tab w:val="left" w:pos="7020"/>
          <w:tab w:val="left" w:pos="9000"/>
        </w:tabs>
        <w:autoSpaceDE w:val="0"/>
        <w:autoSpaceDN w:val="0"/>
        <w:adjustRightInd w:val="0"/>
        <w:spacing w:line="360" w:lineRule="auto"/>
        <w:rPr>
          <w:rFonts w:ascii="宋体" w:hAnsi="宋体"/>
          <w:b/>
          <w:sz w:val="24"/>
          <w:szCs w:val="24"/>
        </w:rPr>
      </w:pPr>
    </w:p>
    <w:p>
      <w:pPr>
        <w:autoSpaceDE w:val="0"/>
        <w:autoSpaceDN w:val="0"/>
        <w:adjustRightInd w:val="0"/>
        <w:spacing w:line="360" w:lineRule="auto"/>
        <w:rPr>
          <w:rFonts w:ascii="宋体" w:hAnsi="宋体"/>
          <w:sz w:val="24"/>
          <w:szCs w:val="24"/>
        </w:rPr>
      </w:pPr>
    </w:p>
    <w:p>
      <w:pPr>
        <w:autoSpaceDE w:val="0"/>
        <w:autoSpaceDN w:val="0"/>
        <w:adjustRightInd w:val="0"/>
        <w:spacing w:line="360" w:lineRule="auto"/>
        <w:rPr>
          <w:rFonts w:ascii="宋体" w:hAnsi="宋体"/>
          <w:sz w:val="24"/>
          <w:szCs w:val="24"/>
        </w:rPr>
      </w:pPr>
    </w:p>
    <w:p>
      <w:pPr>
        <w:adjustRightInd w:val="0"/>
        <w:snapToGrid w:val="0"/>
        <w:spacing w:line="360" w:lineRule="auto"/>
        <w:jc w:val="center"/>
        <w:outlineLvl w:val="1"/>
        <w:rPr>
          <w:rFonts w:ascii="宋体" w:hAnsi="宋体"/>
          <w:sz w:val="24"/>
          <w:szCs w:val="24"/>
        </w:rPr>
      </w:pPr>
      <w:bookmarkStart w:id="46" w:name="_Toc325046390"/>
    </w:p>
    <w:p>
      <w:pPr>
        <w:adjustRightInd w:val="0"/>
        <w:snapToGrid w:val="0"/>
        <w:spacing w:line="360" w:lineRule="auto"/>
        <w:jc w:val="center"/>
        <w:outlineLvl w:val="1"/>
        <w:rPr>
          <w:rFonts w:ascii="宋体" w:hAnsi="宋体"/>
          <w:sz w:val="24"/>
          <w:szCs w:val="24"/>
        </w:rPr>
      </w:pPr>
    </w:p>
    <w:p>
      <w:pPr>
        <w:adjustRightInd w:val="0"/>
        <w:snapToGrid w:val="0"/>
        <w:spacing w:line="360" w:lineRule="auto"/>
        <w:jc w:val="center"/>
        <w:outlineLvl w:val="1"/>
        <w:rPr>
          <w:rFonts w:ascii="宋体" w:hAnsi="宋体"/>
          <w:sz w:val="24"/>
          <w:szCs w:val="24"/>
        </w:rPr>
      </w:pPr>
    </w:p>
    <w:p>
      <w:pPr>
        <w:adjustRightInd w:val="0"/>
        <w:snapToGrid w:val="0"/>
        <w:spacing w:line="360" w:lineRule="auto"/>
        <w:jc w:val="center"/>
        <w:outlineLvl w:val="1"/>
        <w:rPr>
          <w:rFonts w:ascii="宋体" w:hAnsi="宋体"/>
          <w:sz w:val="24"/>
          <w:szCs w:val="24"/>
        </w:rPr>
      </w:pPr>
    </w:p>
    <w:p>
      <w:pPr>
        <w:spacing w:line="360" w:lineRule="exact"/>
        <w:rPr>
          <w:rFonts w:ascii="宋体" w:hAnsi="宋体" w:cs="宋体"/>
          <w:szCs w:val="21"/>
        </w:rPr>
      </w:pPr>
    </w:p>
    <w:p>
      <w:pPr>
        <w:adjustRightInd w:val="0"/>
        <w:snapToGrid w:val="0"/>
        <w:spacing w:line="360" w:lineRule="auto"/>
        <w:outlineLvl w:val="1"/>
        <w:rPr>
          <w:rFonts w:ascii="宋体" w:hAnsi="宋体"/>
          <w:sz w:val="24"/>
          <w:szCs w:val="24"/>
        </w:rPr>
      </w:pPr>
      <w:r>
        <w:rPr>
          <w:rFonts w:hint="eastAsia" w:ascii="宋体" w:hAnsi="宋体"/>
          <w:b/>
          <w:sz w:val="24"/>
          <w:szCs w:val="24"/>
        </w:rPr>
        <w:t xml:space="preserve">     分项报价按以下格式填写</w:t>
      </w:r>
    </w:p>
    <w:p>
      <w:pPr>
        <w:spacing w:line="360" w:lineRule="exact"/>
        <w:rPr>
          <w:rFonts w:ascii="宋体" w:hAnsi="宋体" w:cs="宋体"/>
          <w:szCs w:val="21"/>
        </w:rPr>
      </w:pPr>
    </w:p>
    <w:p>
      <w:pPr>
        <w:spacing w:line="360" w:lineRule="exact"/>
        <w:rPr>
          <w:rFonts w:ascii="宋体" w:hAnsi="宋体" w:cs="宋体"/>
          <w:szCs w:val="21"/>
          <w:u w:val="single"/>
        </w:rPr>
      </w:pPr>
      <w:r>
        <w:rPr>
          <w:rFonts w:hint="eastAsia" w:ascii="宋体" w:hAnsi="宋体" w:cs="宋体"/>
          <w:szCs w:val="21"/>
        </w:rPr>
        <w:t>招标文件编号：</w:t>
      </w:r>
      <w:r>
        <w:rPr>
          <w:rFonts w:hint="eastAsia" w:ascii="宋体" w:hAnsi="宋体" w:cs="宋体"/>
          <w:szCs w:val="21"/>
          <w:u w:val="single"/>
        </w:rPr>
        <w:t xml:space="preserve">             </w:t>
      </w:r>
    </w:p>
    <w:p>
      <w:pPr>
        <w:spacing w:line="360" w:lineRule="exact"/>
        <w:rPr>
          <w:rFonts w:ascii="宋体" w:hAnsi="宋体" w:cs="宋体"/>
          <w:b/>
          <w:szCs w:val="21"/>
          <w:u w:val="single"/>
        </w:rPr>
      </w:pPr>
      <w:r>
        <w:rPr>
          <w:rFonts w:hint="eastAsia" w:ascii="宋体" w:hAnsi="宋体" w:cs="宋体"/>
          <w:szCs w:val="21"/>
        </w:rPr>
        <w:t>投标标段名称</w:t>
      </w:r>
      <w:r>
        <w:rPr>
          <w:rFonts w:hint="eastAsia" w:ascii="宋体" w:hAnsi="宋体" w:cs="宋体"/>
          <w:b/>
          <w:szCs w:val="21"/>
        </w:rPr>
        <w:t>：</w:t>
      </w:r>
      <w:r>
        <w:rPr>
          <w:rFonts w:hint="eastAsia" w:ascii="宋体" w:hAnsi="宋体" w:cs="宋体"/>
          <w:b/>
          <w:szCs w:val="21"/>
          <w:u w:val="single"/>
        </w:rPr>
        <w:t xml:space="preserve">             </w:t>
      </w:r>
    </w:p>
    <w:p>
      <w:pPr>
        <w:adjustRightInd w:val="0"/>
        <w:snapToGrid w:val="0"/>
        <w:spacing w:line="360" w:lineRule="auto"/>
        <w:jc w:val="center"/>
        <w:outlineLvl w:val="1"/>
        <w:rPr>
          <w:rFonts w:ascii="宋体" w:hAnsi="宋体"/>
          <w:b/>
          <w:sz w:val="24"/>
          <w:szCs w:val="24"/>
        </w:rPr>
      </w:pPr>
    </w:p>
    <w:p>
      <w:pPr>
        <w:adjustRightInd w:val="0"/>
        <w:snapToGrid w:val="0"/>
        <w:spacing w:line="360" w:lineRule="auto"/>
        <w:jc w:val="center"/>
        <w:outlineLvl w:val="1"/>
        <w:rPr>
          <w:rFonts w:ascii="宋体" w:hAnsi="宋体"/>
          <w:sz w:val="24"/>
          <w:szCs w:val="24"/>
        </w:rPr>
      </w:pPr>
      <w:r>
        <w:rPr>
          <w:rFonts w:hint="eastAsia" w:ascii="宋体" w:hAnsi="宋体"/>
          <w:sz w:val="24"/>
          <w:szCs w:val="24"/>
        </w:rPr>
        <w:t xml:space="preserve">                                           单位：人民币</w:t>
      </w:r>
    </w:p>
    <w:tbl>
      <w:tblPr>
        <w:tblStyle w:val="24"/>
        <w:tblW w:w="9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796"/>
        <w:gridCol w:w="1209"/>
        <w:gridCol w:w="1080"/>
        <w:gridCol w:w="1815"/>
        <w:gridCol w:w="1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3" w:hRule="atLeast"/>
        </w:trPr>
        <w:tc>
          <w:tcPr>
            <w:tcW w:w="735" w:type="dxa"/>
            <w:vMerge w:val="restart"/>
            <w:tcBorders>
              <w:top w:val="single" w:color="auto" w:sz="4" w:space="0"/>
              <w:left w:val="single" w:color="auto" w:sz="4" w:space="0"/>
              <w:right w:val="single" w:color="auto" w:sz="4" w:space="0"/>
            </w:tcBorders>
            <w:vAlign w:val="center"/>
          </w:tcPr>
          <w:p>
            <w:pPr>
              <w:jc w:val="center"/>
              <w:rPr>
                <w:rFonts w:ascii="Arial Narrow" w:hAnsi="Arial Narrow" w:eastAsia="Arial Narrow" w:cs="Arial Narrow"/>
                <w:sz w:val="24"/>
                <w:szCs w:val="24"/>
              </w:rPr>
            </w:pPr>
            <w:r>
              <w:rPr>
                <w:rFonts w:hint="eastAsia" w:ascii="Arial Narrow" w:hAnsi="Arial Narrow" w:cs="宋体"/>
                <w:sz w:val="24"/>
                <w:szCs w:val="24"/>
              </w:rPr>
              <w:t>序号</w:t>
            </w:r>
          </w:p>
        </w:tc>
        <w:tc>
          <w:tcPr>
            <w:tcW w:w="2796" w:type="dxa"/>
            <w:vMerge w:val="restart"/>
            <w:tcBorders>
              <w:top w:val="single" w:color="auto" w:sz="4" w:space="0"/>
              <w:left w:val="single" w:color="auto" w:sz="4" w:space="0"/>
            </w:tcBorders>
            <w:vAlign w:val="center"/>
          </w:tcPr>
          <w:p>
            <w:pPr>
              <w:jc w:val="center"/>
              <w:rPr>
                <w:rFonts w:ascii="Arial Narrow" w:hAnsi="Arial Narrow" w:eastAsia="Arial Narrow" w:cs="Arial Narrow"/>
                <w:sz w:val="24"/>
                <w:szCs w:val="24"/>
              </w:rPr>
            </w:pPr>
            <w:r>
              <w:rPr>
                <w:rFonts w:hint="eastAsia" w:ascii="Arial Narrow" w:hAnsi="Arial Narrow" w:cs="宋体"/>
                <w:sz w:val="24"/>
                <w:szCs w:val="24"/>
              </w:rPr>
              <w:t>服务人员名称、数量</w:t>
            </w:r>
          </w:p>
        </w:tc>
        <w:tc>
          <w:tcPr>
            <w:tcW w:w="2289" w:type="dxa"/>
            <w:gridSpan w:val="2"/>
            <w:tcBorders>
              <w:top w:val="single" w:color="auto" w:sz="4" w:space="0"/>
              <w:left w:val="single" w:color="auto" w:sz="4" w:space="0"/>
              <w:bottom w:val="single" w:color="auto" w:sz="4" w:space="0"/>
            </w:tcBorders>
            <w:vAlign w:val="center"/>
          </w:tcPr>
          <w:p>
            <w:pPr>
              <w:jc w:val="center"/>
              <w:rPr>
                <w:rFonts w:ascii="Arial Narrow" w:hAnsi="Arial Narrow" w:cs="Arial Narrow"/>
                <w:sz w:val="24"/>
                <w:szCs w:val="24"/>
              </w:rPr>
            </w:pPr>
            <w:r>
              <w:rPr>
                <w:rFonts w:hint="eastAsia" w:ascii="Arial Narrow" w:hAnsi="Arial Narrow" w:cs="Arial Narrow"/>
                <w:sz w:val="24"/>
                <w:szCs w:val="24"/>
              </w:rPr>
              <w:t>服务时间</w:t>
            </w:r>
          </w:p>
        </w:tc>
        <w:tc>
          <w:tcPr>
            <w:tcW w:w="1815" w:type="dxa"/>
            <w:vMerge w:val="restart"/>
            <w:tcBorders>
              <w:top w:val="single" w:color="auto" w:sz="4" w:space="0"/>
              <w:left w:val="single" w:color="auto" w:sz="4" w:space="0"/>
              <w:right w:val="single" w:color="auto" w:sz="4" w:space="0"/>
            </w:tcBorders>
            <w:vAlign w:val="center"/>
          </w:tcPr>
          <w:p>
            <w:pPr>
              <w:widowControl/>
              <w:jc w:val="center"/>
              <w:rPr>
                <w:rFonts w:ascii="Arial Narrow" w:hAnsi="Arial Narrow" w:eastAsia="Arial Narrow" w:cs="Arial Narrow"/>
                <w:sz w:val="24"/>
                <w:szCs w:val="24"/>
              </w:rPr>
            </w:pPr>
            <w:r>
              <w:rPr>
                <w:rFonts w:hint="eastAsia" w:ascii="Arial Narrow" w:hAnsi="Arial Narrow" w:cs="宋体"/>
                <w:sz w:val="24"/>
                <w:szCs w:val="24"/>
              </w:rPr>
              <w:t>单价（元）</w:t>
            </w:r>
          </w:p>
        </w:tc>
        <w:tc>
          <w:tcPr>
            <w:tcW w:w="1770" w:type="dxa"/>
            <w:vMerge w:val="restart"/>
            <w:tcBorders>
              <w:top w:val="single" w:color="auto" w:sz="4" w:space="0"/>
              <w:left w:val="single" w:color="auto" w:sz="4" w:space="0"/>
              <w:right w:val="single" w:color="auto" w:sz="4" w:space="0"/>
            </w:tcBorders>
            <w:vAlign w:val="center"/>
          </w:tcPr>
          <w:p>
            <w:pPr>
              <w:widowControl/>
              <w:jc w:val="center"/>
              <w:rPr>
                <w:rFonts w:ascii="Arial Narrow" w:hAnsi="Arial Narrow" w:eastAsia="Arial Narrow" w:cs="Arial Narrow"/>
                <w:sz w:val="24"/>
                <w:szCs w:val="24"/>
              </w:rPr>
            </w:pPr>
            <w:r>
              <w:rPr>
                <w:rFonts w:hint="eastAsia" w:ascii="Arial Narrow" w:hAnsi="Arial Narrow" w:cs="宋体"/>
                <w:sz w:val="24"/>
                <w:szCs w:val="24"/>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3" w:hRule="atLeast"/>
        </w:trPr>
        <w:tc>
          <w:tcPr>
            <w:tcW w:w="735" w:type="dxa"/>
            <w:vMerge w:val="continue"/>
            <w:tcBorders>
              <w:left w:val="single" w:color="auto" w:sz="4" w:space="0"/>
              <w:bottom w:val="single" w:color="auto" w:sz="4" w:space="0"/>
              <w:right w:val="single" w:color="auto" w:sz="4" w:space="0"/>
            </w:tcBorders>
            <w:vAlign w:val="center"/>
          </w:tcPr>
          <w:p>
            <w:pPr>
              <w:jc w:val="center"/>
              <w:rPr>
                <w:rFonts w:ascii="Arial Narrow" w:hAnsi="Arial Narrow" w:cs="宋体"/>
                <w:sz w:val="24"/>
                <w:szCs w:val="24"/>
              </w:rPr>
            </w:pPr>
          </w:p>
        </w:tc>
        <w:tc>
          <w:tcPr>
            <w:tcW w:w="2796" w:type="dxa"/>
            <w:vMerge w:val="continue"/>
            <w:tcBorders>
              <w:left w:val="single" w:color="auto" w:sz="4" w:space="0"/>
              <w:bottom w:val="single" w:color="auto" w:sz="4" w:space="0"/>
            </w:tcBorders>
            <w:vAlign w:val="center"/>
          </w:tcPr>
          <w:p>
            <w:pPr>
              <w:jc w:val="center"/>
              <w:rPr>
                <w:rFonts w:ascii="Arial Narrow" w:hAnsi="Arial Narrow" w:cs="宋体"/>
                <w:sz w:val="24"/>
                <w:szCs w:val="24"/>
              </w:rPr>
            </w:pP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宋体"/>
                <w:sz w:val="24"/>
                <w:szCs w:val="24"/>
              </w:rPr>
            </w:pPr>
            <w:r>
              <w:rPr>
                <w:rFonts w:hint="eastAsia" w:ascii="Arial Narrow" w:hAnsi="Arial Narrow" w:cs="宋体"/>
                <w:sz w:val="24"/>
                <w:szCs w:val="24"/>
              </w:rPr>
              <w:t>单位</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宋体"/>
                <w:sz w:val="24"/>
                <w:szCs w:val="24"/>
              </w:rPr>
            </w:pPr>
            <w:r>
              <w:rPr>
                <w:rFonts w:hint="eastAsia" w:ascii="Arial Narrow" w:hAnsi="Arial Narrow" w:cs="宋体"/>
                <w:sz w:val="24"/>
                <w:szCs w:val="24"/>
              </w:rPr>
              <w:t>数量</w:t>
            </w:r>
          </w:p>
        </w:tc>
        <w:tc>
          <w:tcPr>
            <w:tcW w:w="1815" w:type="dxa"/>
            <w:vMerge w:val="continue"/>
            <w:tcBorders>
              <w:left w:val="single" w:color="auto" w:sz="4" w:space="0"/>
              <w:bottom w:val="single" w:color="auto" w:sz="4" w:space="0"/>
              <w:right w:val="single" w:color="auto" w:sz="4" w:space="0"/>
            </w:tcBorders>
            <w:vAlign w:val="center"/>
          </w:tcPr>
          <w:p>
            <w:pPr>
              <w:widowControl/>
              <w:jc w:val="center"/>
              <w:rPr>
                <w:rFonts w:ascii="Arial Narrow" w:hAnsi="Arial Narrow" w:cs="宋体"/>
                <w:sz w:val="24"/>
                <w:szCs w:val="24"/>
              </w:rPr>
            </w:pPr>
          </w:p>
        </w:tc>
        <w:tc>
          <w:tcPr>
            <w:tcW w:w="1770" w:type="dxa"/>
            <w:vMerge w:val="continue"/>
            <w:tcBorders>
              <w:left w:val="single" w:color="auto" w:sz="4" w:space="0"/>
              <w:bottom w:val="single" w:color="auto" w:sz="4" w:space="0"/>
              <w:right w:val="single" w:color="auto" w:sz="4" w:space="0"/>
            </w:tcBorders>
            <w:vAlign w:val="center"/>
          </w:tcPr>
          <w:p>
            <w:pPr>
              <w:widowControl/>
              <w:jc w:val="center"/>
              <w:rPr>
                <w:rFonts w:ascii="Arial Narrow" w:hAnsi="Arial Narrow"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4"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rPr>
            </w:pPr>
            <w:r>
              <w:rPr>
                <w:rFonts w:ascii="Arial Narrow" w:hAnsi="Arial Narrow" w:cs="Arial Narrow"/>
                <w:sz w:val="24"/>
                <w:szCs w:val="24"/>
              </w:rPr>
              <w:t>1</w:t>
            </w:r>
          </w:p>
        </w:tc>
        <w:tc>
          <w:tcPr>
            <w:tcW w:w="2796" w:type="dxa"/>
            <w:tcBorders>
              <w:top w:val="single" w:color="auto" w:sz="4" w:space="0"/>
              <w:left w:val="single" w:color="auto" w:sz="4" w:space="0"/>
              <w:bottom w:val="single" w:color="auto" w:sz="4" w:space="0"/>
            </w:tcBorders>
            <w:vAlign w:val="center"/>
          </w:tcPr>
          <w:p>
            <w:pPr>
              <w:adjustRightInd w:val="0"/>
              <w:snapToGrid w:val="0"/>
              <w:spacing w:line="240" w:lineRule="atLeast"/>
              <w:jc w:val="center"/>
              <w:rPr>
                <w:rFonts w:ascii="Arial Narrow" w:hAnsi="Arial Narrow" w:cs="Arial Narrow"/>
                <w:sz w:val="24"/>
                <w:szCs w:val="24"/>
              </w:rPr>
            </w:pPr>
            <w:r>
              <w:rPr>
                <w:rFonts w:hint="eastAsia" w:ascii="Arial Narrow" w:hAnsi="Arial Narrow" w:cs="Arial Narrow"/>
                <w:sz w:val="24"/>
                <w:szCs w:val="24"/>
              </w:rPr>
              <w:t>安装调试工程师1人</w:t>
            </w: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rPr>
            </w:pPr>
            <w:r>
              <w:rPr>
                <w:rFonts w:hint="eastAsia" w:ascii="Arial Narrow" w:hAnsi="Arial Narrow" w:cs="Arial Narrow"/>
                <w:sz w:val="24"/>
                <w:szCs w:val="24"/>
              </w:rPr>
              <w:t>工作日</w:t>
            </w: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r>
              <w:rPr>
                <w:rFonts w:hint="eastAsia" w:ascii="Arial Narrow" w:hAnsi="Arial Narrow" w:cs="Arial Narrow"/>
                <w:sz w:val="24"/>
                <w:szCs w:val="24"/>
              </w:rPr>
              <w:t>30</w:t>
            </w: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4"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rPr>
            </w:pPr>
            <w:r>
              <w:rPr>
                <w:rFonts w:ascii="Arial Narrow" w:hAnsi="Arial Narrow" w:cs="Arial Narrow"/>
                <w:sz w:val="24"/>
                <w:szCs w:val="24"/>
              </w:rPr>
              <w:t>2</w:t>
            </w:r>
          </w:p>
        </w:tc>
        <w:tc>
          <w:tcPr>
            <w:tcW w:w="2796" w:type="dxa"/>
            <w:tcBorders>
              <w:top w:val="single" w:color="auto" w:sz="4" w:space="0"/>
              <w:left w:val="single" w:color="auto" w:sz="4" w:space="0"/>
              <w:bottom w:val="single" w:color="auto" w:sz="4" w:space="0"/>
            </w:tcBorders>
            <w:vAlign w:val="center"/>
          </w:tcPr>
          <w:p>
            <w:pPr>
              <w:adjustRightInd w:val="0"/>
              <w:snapToGrid w:val="0"/>
              <w:spacing w:line="240" w:lineRule="atLeast"/>
              <w:jc w:val="center"/>
              <w:rPr>
                <w:rFonts w:ascii="Arial Narrow" w:hAnsi="Arial Narrow" w:cs="Arial Narrow"/>
                <w:sz w:val="24"/>
                <w:szCs w:val="24"/>
              </w:rPr>
            </w:pP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rPr>
            </w:pP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4"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rPr>
            </w:pPr>
            <w:r>
              <w:rPr>
                <w:rFonts w:hint="eastAsia" w:ascii="Arial Narrow" w:hAnsi="Arial Narrow" w:cs="Arial Narrow"/>
                <w:sz w:val="24"/>
                <w:szCs w:val="24"/>
              </w:rPr>
              <w:t>3</w:t>
            </w:r>
          </w:p>
        </w:tc>
        <w:tc>
          <w:tcPr>
            <w:tcW w:w="2796" w:type="dxa"/>
            <w:tcBorders>
              <w:top w:val="single" w:color="auto" w:sz="4" w:space="0"/>
              <w:left w:val="single" w:color="auto" w:sz="4" w:space="0"/>
              <w:bottom w:val="single" w:color="auto" w:sz="4" w:space="0"/>
            </w:tcBorders>
            <w:vAlign w:val="center"/>
          </w:tcPr>
          <w:p>
            <w:pPr>
              <w:adjustRightInd w:val="0"/>
              <w:snapToGrid w:val="0"/>
              <w:spacing w:line="240" w:lineRule="atLeast"/>
              <w:jc w:val="center"/>
              <w:rPr>
                <w:rFonts w:ascii="Arial Narrow" w:hAnsi="Arial Narrow" w:cs="Arial Narrow"/>
                <w:sz w:val="24"/>
                <w:szCs w:val="24"/>
              </w:rPr>
            </w:pPr>
          </w:p>
        </w:tc>
        <w:tc>
          <w:tcPr>
            <w:tcW w:w="1209"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cs="Arial Narrow"/>
                <w:sz w:val="24"/>
                <w:szCs w:val="24"/>
              </w:rPr>
            </w:pP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4" w:hRule="atLeast"/>
        </w:trPr>
        <w:tc>
          <w:tcPr>
            <w:tcW w:w="7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tLeast"/>
              <w:jc w:val="center"/>
              <w:rPr>
                <w:rFonts w:ascii="Arial Narrow" w:hAnsi="Arial Narrow" w:cs="Arial Narrow"/>
                <w:sz w:val="24"/>
                <w:szCs w:val="24"/>
              </w:rPr>
            </w:pPr>
          </w:p>
        </w:tc>
        <w:tc>
          <w:tcPr>
            <w:tcW w:w="5085" w:type="dxa"/>
            <w:gridSpan w:val="3"/>
            <w:tcBorders>
              <w:top w:val="single" w:color="auto" w:sz="4" w:space="0"/>
              <w:left w:val="single" w:color="auto" w:sz="4" w:space="0"/>
              <w:bottom w:val="single" w:color="auto" w:sz="4" w:space="0"/>
            </w:tcBorders>
            <w:vAlign w:val="center"/>
          </w:tcPr>
          <w:p>
            <w:pPr>
              <w:jc w:val="center"/>
              <w:rPr>
                <w:rFonts w:ascii="Arial Narrow" w:hAnsi="Arial Narrow" w:eastAsia="Arial Narrow" w:cs="Arial Narrow"/>
                <w:sz w:val="24"/>
                <w:szCs w:val="24"/>
              </w:rPr>
            </w:pPr>
            <w:r>
              <w:rPr>
                <w:rFonts w:hint="eastAsia" w:ascii="Arial Narrow" w:hAnsi="Arial Narrow" w:eastAsia="Arial Narrow" w:cs="Arial Narrow"/>
                <w:sz w:val="24"/>
                <w:szCs w:val="24"/>
              </w:rPr>
              <w:t>其他（如果有）</w:t>
            </w:r>
          </w:p>
        </w:tc>
        <w:tc>
          <w:tcPr>
            <w:tcW w:w="1815"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c>
          <w:tcPr>
            <w:tcW w:w="1770" w:type="dxa"/>
            <w:tcBorders>
              <w:top w:val="single" w:color="auto" w:sz="4" w:space="0"/>
              <w:left w:val="single" w:color="auto" w:sz="4" w:space="0"/>
              <w:bottom w:val="single" w:color="auto" w:sz="4" w:space="0"/>
              <w:right w:val="single" w:color="auto" w:sz="4" w:space="0"/>
            </w:tcBorders>
            <w:vAlign w:val="center"/>
          </w:tcPr>
          <w:p>
            <w:pPr>
              <w:jc w:val="center"/>
              <w:rPr>
                <w:rFonts w:ascii="Arial Narrow" w:hAnsi="Arial Narrow" w:eastAsia="Arial Narrow" w:cs="Arial Narrow"/>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09" w:hRule="atLeast"/>
        </w:trPr>
        <w:tc>
          <w:tcPr>
            <w:tcW w:w="5820" w:type="dxa"/>
            <w:gridSpan w:val="4"/>
            <w:tcBorders>
              <w:top w:val="single" w:color="auto" w:sz="4" w:space="0"/>
              <w:left w:val="single" w:color="auto" w:sz="4" w:space="0"/>
              <w:bottom w:val="single" w:color="auto" w:sz="4" w:space="0"/>
            </w:tcBorders>
            <w:vAlign w:val="center"/>
          </w:tcPr>
          <w:p>
            <w:pPr>
              <w:jc w:val="center"/>
              <w:rPr>
                <w:rFonts w:ascii="Arial Narrow" w:hAnsi="Arial Narrow" w:eastAsia="Arial Narrow" w:cs="Arial Narrow"/>
                <w:sz w:val="24"/>
                <w:szCs w:val="24"/>
              </w:rPr>
            </w:pPr>
            <w:r>
              <w:rPr>
                <w:rFonts w:hint="eastAsia" w:ascii="Arial Narrow" w:cs="宋体"/>
                <w:sz w:val="24"/>
                <w:szCs w:val="24"/>
              </w:rPr>
              <w:t>报价总额</w:t>
            </w:r>
          </w:p>
        </w:tc>
        <w:tc>
          <w:tcPr>
            <w:tcW w:w="3585" w:type="dxa"/>
            <w:gridSpan w:val="2"/>
            <w:tcBorders>
              <w:top w:val="single" w:color="auto" w:sz="4" w:space="0"/>
              <w:left w:val="single" w:color="auto" w:sz="4" w:space="0"/>
              <w:bottom w:val="single" w:color="auto" w:sz="4" w:space="0"/>
            </w:tcBorders>
            <w:vAlign w:val="center"/>
          </w:tcPr>
          <w:p>
            <w:pPr>
              <w:jc w:val="center"/>
              <w:rPr>
                <w:rFonts w:ascii="Arial Narrow" w:hAnsi="Arial Narrow" w:eastAsia="Arial Narrow" w:cs="Arial Narrow"/>
                <w:sz w:val="24"/>
                <w:szCs w:val="24"/>
              </w:rPr>
            </w:pPr>
          </w:p>
        </w:tc>
      </w:tr>
    </w:tbl>
    <w:p>
      <w:pPr>
        <w:adjustRightInd w:val="0"/>
        <w:snapToGrid w:val="0"/>
        <w:spacing w:line="360" w:lineRule="auto"/>
        <w:outlineLvl w:val="1"/>
        <w:rPr>
          <w:rFonts w:ascii="宋体" w:hAnsi="宋体"/>
          <w:sz w:val="24"/>
          <w:szCs w:val="24"/>
        </w:rPr>
      </w:pPr>
      <w:r>
        <w:rPr>
          <w:rFonts w:hint="eastAsia" w:ascii="宋体" w:hAnsi="宋体"/>
          <w:sz w:val="24"/>
          <w:szCs w:val="24"/>
        </w:rPr>
        <w:t xml:space="preserve">      </w:t>
      </w:r>
    </w:p>
    <w:p>
      <w:pPr>
        <w:adjustRightInd w:val="0"/>
        <w:snapToGrid w:val="0"/>
        <w:spacing w:line="360" w:lineRule="auto"/>
        <w:outlineLvl w:val="1"/>
        <w:rPr>
          <w:rFonts w:ascii="宋体" w:hAnsi="宋体"/>
          <w:b/>
          <w:bCs/>
          <w:sz w:val="24"/>
          <w:szCs w:val="24"/>
        </w:rPr>
      </w:pPr>
      <w:r>
        <w:rPr>
          <w:rFonts w:hint="eastAsia" w:ascii="宋体" w:hAnsi="宋体"/>
          <w:sz w:val="24"/>
          <w:szCs w:val="24"/>
        </w:rPr>
        <w:t xml:space="preserve">  </w:t>
      </w:r>
      <w:r>
        <w:rPr>
          <w:rFonts w:hint="eastAsia" w:ascii="宋体" w:hAnsi="宋体"/>
          <w:b/>
          <w:bCs/>
          <w:sz w:val="24"/>
          <w:szCs w:val="24"/>
        </w:rPr>
        <w:t>注：1、投标人须在上表要求的服务时间内完成招标人要求的服务内容（详见第6章要求），未能在服务时间内完成服务内容的，中标人应无偿提供服务时间至完成服务内容。</w:t>
      </w:r>
    </w:p>
    <w:p>
      <w:pPr>
        <w:adjustRightInd w:val="0"/>
        <w:snapToGrid w:val="0"/>
        <w:spacing w:line="360" w:lineRule="auto"/>
        <w:outlineLvl w:val="1"/>
        <w:rPr>
          <w:rFonts w:ascii="宋体" w:hAnsi="宋体"/>
          <w:b/>
          <w:bCs/>
          <w:sz w:val="24"/>
          <w:szCs w:val="24"/>
        </w:rPr>
      </w:pPr>
      <w:r>
        <w:rPr>
          <w:rFonts w:hint="eastAsia" w:ascii="宋体" w:hAnsi="宋体"/>
          <w:b/>
          <w:bCs/>
          <w:sz w:val="24"/>
          <w:szCs w:val="24"/>
        </w:rPr>
        <w:t xml:space="preserve">      2、因招标人原因导致中标人未能在服务时间内完成服务内容，中标人应增加服务时间至完成服务内容，增加的服务时间按双方确定的单价据实结算。</w:t>
      </w:r>
    </w:p>
    <w:p>
      <w:pPr>
        <w:adjustRightInd w:val="0"/>
        <w:snapToGrid w:val="0"/>
        <w:spacing w:line="360" w:lineRule="auto"/>
        <w:outlineLvl w:val="1"/>
        <w:rPr>
          <w:rFonts w:ascii="宋体" w:hAnsi="宋体"/>
          <w:b/>
          <w:bCs/>
          <w:sz w:val="24"/>
          <w:szCs w:val="24"/>
        </w:rPr>
      </w:pPr>
      <w:r>
        <w:rPr>
          <w:rFonts w:hint="eastAsia" w:ascii="宋体" w:hAnsi="宋体"/>
          <w:b/>
          <w:bCs/>
          <w:sz w:val="24"/>
          <w:szCs w:val="24"/>
        </w:rPr>
        <w:t xml:space="preserve">      3、因工程需要增加服务内容，投标人应按招标人要求完成增加的服务内容，能在要求的服务时间内完成的，招标人应免费提供服务；不能在服务时间内完成的，增加的服务时间按双方确定的单价据实结算。</w:t>
      </w:r>
    </w:p>
    <w:p>
      <w:pPr>
        <w:adjustRightInd w:val="0"/>
        <w:snapToGrid w:val="0"/>
        <w:spacing w:line="360" w:lineRule="auto"/>
        <w:outlineLvl w:val="1"/>
        <w:rPr>
          <w:rFonts w:ascii="宋体" w:hAnsi="宋体"/>
          <w:sz w:val="24"/>
          <w:szCs w:val="24"/>
        </w:rPr>
      </w:pPr>
      <w:r>
        <w:rPr>
          <w:rFonts w:hint="eastAsia" w:ascii="宋体" w:hAnsi="宋体"/>
          <w:sz w:val="24"/>
          <w:szCs w:val="24"/>
        </w:rPr>
        <w:t xml:space="preserve">    </w:t>
      </w:r>
    </w:p>
    <w:p>
      <w:pPr>
        <w:adjustRightInd w:val="0"/>
        <w:snapToGrid w:val="0"/>
        <w:spacing w:line="360" w:lineRule="auto"/>
        <w:outlineLvl w:val="1"/>
        <w:rPr>
          <w:rFonts w:ascii="宋体" w:hAnsi="宋体"/>
          <w:sz w:val="24"/>
          <w:szCs w:val="24"/>
        </w:rPr>
      </w:pPr>
    </w:p>
    <w:p>
      <w:pPr>
        <w:spacing w:beforeLines="50" w:afterLines="50" w:line="520" w:lineRule="exact"/>
        <w:ind w:firstLine="4253" w:firstLineChars="2025"/>
        <w:rPr>
          <w:rFonts w:ascii="宋体" w:hAnsi="宋体" w:cs="宋体"/>
          <w:szCs w:val="21"/>
        </w:rPr>
      </w:pPr>
      <w:r>
        <w:rPr>
          <w:rFonts w:hint="eastAsia" w:ascii="宋体" w:hAnsi="宋体" w:cs="宋体"/>
          <w:szCs w:val="21"/>
        </w:rPr>
        <w:t>投标人名称（盖 章）：</w:t>
      </w:r>
      <w:r>
        <w:rPr>
          <w:rFonts w:hint="eastAsia" w:ascii="宋体" w:hAnsi="宋体" w:cs="宋体"/>
          <w:szCs w:val="21"/>
          <w:u w:val="single"/>
        </w:rPr>
        <w:t xml:space="preserve">                                 </w:t>
      </w:r>
    </w:p>
    <w:p>
      <w:pPr>
        <w:spacing w:line="360" w:lineRule="exact"/>
        <w:rPr>
          <w:rFonts w:ascii="宋体" w:hAnsi="宋体" w:cs="宋体"/>
          <w:b/>
          <w:szCs w:val="21"/>
        </w:rPr>
      </w:pPr>
      <w:r>
        <w:rPr>
          <w:rFonts w:hint="eastAsia" w:ascii="宋体" w:hAnsi="宋体" w:cs="宋体"/>
          <w:szCs w:val="21"/>
        </w:rPr>
        <w:t xml:space="preserve">                                        法定代表人或授权代表（签 字）：</w:t>
      </w:r>
      <w:r>
        <w:rPr>
          <w:rFonts w:hint="eastAsia" w:ascii="宋体" w:hAnsi="宋体" w:cs="宋体"/>
          <w:szCs w:val="21"/>
          <w:u w:val="single"/>
        </w:rPr>
        <w:t xml:space="preserve">                      </w:t>
      </w:r>
    </w:p>
    <w:p>
      <w:pPr>
        <w:adjustRightInd w:val="0"/>
        <w:snapToGrid w:val="0"/>
        <w:spacing w:line="360" w:lineRule="auto"/>
        <w:outlineLvl w:val="1"/>
        <w:rPr>
          <w:rFonts w:ascii="宋体" w:hAnsi="宋体"/>
          <w:sz w:val="24"/>
          <w:szCs w:val="24"/>
        </w:rPr>
      </w:pPr>
    </w:p>
    <w:p>
      <w:pPr>
        <w:adjustRightInd w:val="0"/>
        <w:snapToGrid w:val="0"/>
        <w:spacing w:line="360" w:lineRule="auto"/>
        <w:outlineLvl w:val="1"/>
        <w:rPr>
          <w:rFonts w:ascii="宋体" w:hAnsi="宋体"/>
          <w:sz w:val="24"/>
          <w:szCs w:val="24"/>
        </w:rPr>
      </w:pPr>
    </w:p>
    <w:p>
      <w:pPr>
        <w:adjustRightInd w:val="0"/>
        <w:snapToGrid w:val="0"/>
        <w:spacing w:line="360" w:lineRule="auto"/>
        <w:outlineLvl w:val="1"/>
        <w:rPr>
          <w:rFonts w:ascii="宋体" w:hAnsi="宋体"/>
          <w:sz w:val="24"/>
          <w:szCs w:val="24"/>
        </w:rPr>
      </w:pPr>
    </w:p>
    <w:p>
      <w:pPr>
        <w:adjustRightInd w:val="0"/>
        <w:snapToGrid w:val="0"/>
        <w:spacing w:line="360" w:lineRule="auto"/>
        <w:outlineLvl w:val="1"/>
        <w:rPr>
          <w:rFonts w:ascii="宋体" w:hAnsi="宋体"/>
          <w:sz w:val="24"/>
          <w:szCs w:val="24"/>
        </w:rPr>
      </w:pPr>
    </w:p>
    <w:p>
      <w:pPr>
        <w:adjustRightInd w:val="0"/>
        <w:snapToGrid w:val="0"/>
        <w:spacing w:line="360" w:lineRule="auto"/>
        <w:outlineLvl w:val="1"/>
        <w:rPr>
          <w:rFonts w:ascii="宋体" w:hAnsi="宋体"/>
          <w:sz w:val="24"/>
          <w:szCs w:val="24"/>
        </w:rPr>
      </w:pPr>
    </w:p>
    <w:p>
      <w:pPr>
        <w:adjustRightInd w:val="0"/>
        <w:snapToGrid w:val="0"/>
        <w:spacing w:line="360" w:lineRule="auto"/>
        <w:outlineLvl w:val="1"/>
        <w:rPr>
          <w:rFonts w:ascii="宋体" w:hAnsi="宋体"/>
          <w:sz w:val="24"/>
          <w:szCs w:val="24"/>
        </w:rPr>
      </w:pPr>
    </w:p>
    <w:p>
      <w:pPr>
        <w:adjustRightInd w:val="0"/>
        <w:snapToGrid w:val="0"/>
        <w:spacing w:line="360" w:lineRule="auto"/>
        <w:jc w:val="center"/>
        <w:outlineLvl w:val="1"/>
        <w:rPr>
          <w:rFonts w:ascii="宋体" w:hAnsi="宋体"/>
          <w:b/>
          <w:bCs/>
          <w:sz w:val="32"/>
          <w:szCs w:val="32"/>
        </w:rPr>
      </w:pPr>
      <w:r>
        <w:rPr>
          <w:rFonts w:ascii="宋体" w:hAnsi="宋体"/>
          <w:b/>
          <w:bCs/>
          <w:sz w:val="32"/>
          <w:szCs w:val="32"/>
        </w:rPr>
        <w:t>附件</w:t>
      </w:r>
      <w:r>
        <w:rPr>
          <w:rFonts w:hint="eastAsia" w:ascii="宋体" w:hAnsi="宋体"/>
          <w:b/>
          <w:bCs/>
          <w:sz w:val="32"/>
          <w:szCs w:val="32"/>
        </w:rPr>
        <w:t>三</w:t>
      </w:r>
      <w:r>
        <w:rPr>
          <w:rFonts w:ascii="宋体" w:hAnsi="宋体"/>
          <w:b/>
          <w:bCs/>
          <w:sz w:val="32"/>
          <w:szCs w:val="32"/>
        </w:rPr>
        <w:t>：</w:t>
      </w:r>
      <w:bookmarkStart w:id="47" w:name="_Toc138428764"/>
      <w:bookmarkStart w:id="48" w:name="_Toc139173740"/>
      <w:bookmarkStart w:id="49" w:name="_Toc277951749"/>
      <w:r>
        <w:rPr>
          <w:rFonts w:ascii="宋体" w:hAnsi="宋体"/>
          <w:b/>
          <w:bCs/>
          <w:sz w:val="32"/>
          <w:szCs w:val="32"/>
        </w:rPr>
        <w:t>授权委托书</w:t>
      </w:r>
      <w:bookmarkEnd w:id="46"/>
      <w:bookmarkEnd w:id="47"/>
      <w:bookmarkEnd w:id="48"/>
      <w:bookmarkEnd w:id="49"/>
    </w:p>
    <w:p>
      <w:pPr>
        <w:spacing w:line="360" w:lineRule="auto"/>
        <w:rPr>
          <w:rFonts w:ascii="宋体" w:hAnsi="宋体"/>
          <w:sz w:val="24"/>
          <w:szCs w:val="24"/>
        </w:rPr>
      </w:pPr>
    </w:p>
    <w:bookmarkEnd w:id="42"/>
    <w:bookmarkEnd w:id="43"/>
    <w:p>
      <w:pPr>
        <w:pStyle w:val="7"/>
        <w:widowControl/>
        <w:spacing w:line="600" w:lineRule="exact"/>
        <w:ind w:firstLine="480"/>
        <w:rPr>
          <w:rFonts w:ascii="宋体" w:hAnsi="宋体" w:cs="宋体"/>
          <w:szCs w:val="21"/>
        </w:rPr>
      </w:pPr>
      <w:bookmarkStart w:id="50" w:name="_Toc325046391"/>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姓名）系</w:t>
      </w:r>
      <w:r>
        <w:rPr>
          <w:rFonts w:hint="eastAsia" w:ascii="宋体" w:hAnsi="宋体" w:cs="宋体"/>
          <w:szCs w:val="21"/>
          <w:u w:val="single"/>
        </w:rPr>
        <w:t xml:space="preserve">            </w:t>
      </w:r>
      <w:r>
        <w:rPr>
          <w:rFonts w:hint="eastAsia" w:ascii="宋体" w:hAnsi="宋体" w:cs="宋体"/>
          <w:szCs w:val="21"/>
        </w:rPr>
        <w:t>（投标方名称）的法定代表人，现授权委托</w:t>
      </w:r>
      <w:r>
        <w:rPr>
          <w:rFonts w:hint="eastAsia" w:ascii="宋体" w:hAnsi="宋体" w:cs="宋体"/>
          <w:szCs w:val="21"/>
          <w:u w:val="single"/>
        </w:rPr>
        <w:t xml:space="preserve">                     </w:t>
      </w:r>
      <w:r>
        <w:rPr>
          <w:rFonts w:hint="eastAsia" w:ascii="宋体" w:hAnsi="宋体" w:cs="宋体"/>
          <w:szCs w:val="21"/>
        </w:rPr>
        <w:t>（单位名称）的</w:t>
      </w:r>
      <w:r>
        <w:rPr>
          <w:rFonts w:hint="eastAsia" w:ascii="宋体" w:hAnsi="宋体" w:cs="宋体"/>
          <w:szCs w:val="21"/>
          <w:u w:val="single"/>
        </w:rPr>
        <w:t xml:space="preserve">            </w:t>
      </w:r>
      <w:r>
        <w:rPr>
          <w:rFonts w:hint="eastAsia" w:ascii="宋体" w:hAnsi="宋体" w:cs="宋体"/>
          <w:szCs w:val="21"/>
        </w:rPr>
        <w:t>（姓名）为我公司代理人，以本公司的名义参加</w:t>
      </w:r>
      <w:r>
        <w:rPr>
          <w:rFonts w:hint="eastAsia" w:ascii="宋体" w:hAnsi="宋体" w:cs="宋体"/>
          <w:szCs w:val="21"/>
          <w:u w:val="single"/>
        </w:rPr>
        <w:t xml:space="preserve">                </w:t>
      </w:r>
      <w:r>
        <w:rPr>
          <w:rFonts w:hint="eastAsia" w:ascii="宋体" w:hAnsi="宋体" w:cs="宋体"/>
          <w:szCs w:val="21"/>
        </w:rPr>
        <w:t>（招标方）的</w:t>
      </w:r>
      <w:r>
        <w:rPr>
          <w:rFonts w:hint="eastAsia" w:ascii="宋体" w:hAnsi="宋体" w:cs="宋体"/>
          <w:szCs w:val="21"/>
          <w:u w:val="single"/>
        </w:rPr>
        <w:t xml:space="preserve">                   </w:t>
      </w:r>
      <w:r>
        <w:rPr>
          <w:rFonts w:hint="eastAsia" w:ascii="宋体" w:hAnsi="宋体" w:cs="宋体"/>
          <w:szCs w:val="21"/>
        </w:rPr>
        <w:t>工程的投标活动。代理人在投标、合同谈判过程中所签署的一切文件和处理与之有关的一切事务，我均予以承认。</w:t>
      </w:r>
    </w:p>
    <w:p>
      <w:pPr>
        <w:pStyle w:val="7"/>
        <w:widowControl/>
        <w:spacing w:line="600" w:lineRule="exact"/>
        <w:ind w:firstLine="480"/>
        <w:rPr>
          <w:rFonts w:ascii="宋体" w:hAnsi="宋体" w:cs="宋体"/>
          <w:szCs w:val="21"/>
        </w:rPr>
      </w:pPr>
      <w:r>
        <w:rPr>
          <w:rFonts w:hint="eastAsia" w:ascii="宋体" w:hAnsi="宋体" w:cs="宋体"/>
          <w:szCs w:val="21"/>
        </w:rPr>
        <w:t xml:space="preserve"> 代理人无转委权。特此委托。</w:t>
      </w:r>
    </w:p>
    <w:p>
      <w:pPr>
        <w:pStyle w:val="7"/>
        <w:widowControl/>
        <w:spacing w:line="600" w:lineRule="exact"/>
        <w:ind w:firstLine="480"/>
        <w:rPr>
          <w:rFonts w:ascii="宋体" w:hAnsi="宋体" w:cs="宋体"/>
          <w:szCs w:val="21"/>
        </w:rPr>
      </w:pPr>
    </w:p>
    <w:p>
      <w:pPr>
        <w:pStyle w:val="7"/>
        <w:widowControl/>
        <w:spacing w:line="600" w:lineRule="exact"/>
        <w:ind w:firstLine="480"/>
        <w:rPr>
          <w:rFonts w:ascii="宋体" w:hAnsi="宋体" w:cs="宋体"/>
          <w:szCs w:val="21"/>
        </w:rPr>
      </w:pPr>
      <w:r>
        <w:rPr>
          <w:rFonts w:hint="eastAsia" w:ascii="宋体" w:hAnsi="宋体" w:cs="宋体"/>
          <w:szCs w:val="21"/>
        </w:rPr>
        <w:t>代理人：                 性别：               年龄：</w:t>
      </w:r>
    </w:p>
    <w:p>
      <w:pPr>
        <w:pStyle w:val="7"/>
        <w:widowControl/>
        <w:spacing w:line="600" w:lineRule="exact"/>
        <w:ind w:firstLine="480"/>
        <w:rPr>
          <w:rFonts w:ascii="宋体" w:hAnsi="宋体" w:cs="宋体"/>
          <w:szCs w:val="21"/>
        </w:rPr>
      </w:pPr>
      <w:r>
        <w:rPr>
          <w:rFonts w:hint="eastAsia" w:ascii="宋体" w:hAnsi="宋体" w:cs="宋体"/>
          <w:szCs w:val="21"/>
        </w:rPr>
        <w:t xml:space="preserve"> </w:t>
      </w:r>
    </w:p>
    <w:p>
      <w:pPr>
        <w:pStyle w:val="7"/>
        <w:widowControl/>
        <w:spacing w:line="600" w:lineRule="exact"/>
        <w:ind w:firstLine="480"/>
        <w:rPr>
          <w:rFonts w:ascii="宋体" w:hAnsi="宋体" w:cs="宋体"/>
          <w:szCs w:val="21"/>
        </w:rPr>
      </w:pPr>
      <w:r>
        <w:rPr>
          <w:rFonts w:hint="eastAsia" w:ascii="宋体" w:hAnsi="宋体" w:cs="宋体"/>
          <w:szCs w:val="21"/>
        </w:rPr>
        <w:t>单  位：                 部门：               职务：</w:t>
      </w:r>
    </w:p>
    <w:p>
      <w:pPr>
        <w:pStyle w:val="7"/>
        <w:widowControl/>
        <w:spacing w:line="600" w:lineRule="exact"/>
        <w:ind w:firstLine="480"/>
        <w:rPr>
          <w:rFonts w:ascii="宋体" w:hAnsi="宋体" w:cs="宋体"/>
          <w:szCs w:val="21"/>
        </w:rPr>
      </w:pPr>
      <w:r>
        <w:rPr>
          <w:rFonts w:hint="eastAsia" w:ascii="宋体" w:hAnsi="宋体" w:cs="宋体"/>
          <w:szCs w:val="21"/>
        </w:rPr>
        <w:t xml:space="preserve"> </w:t>
      </w:r>
    </w:p>
    <w:p>
      <w:pPr>
        <w:pStyle w:val="7"/>
        <w:widowControl/>
        <w:spacing w:line="600" w:lineRule="exact"/>
        <w:ind w:firstLine="480"/>
        <w:rPr>
          <w:rFonts w:ascii="宋体" w:hAnsi="宋体" w:cs="宋体"/>
          <w:szCs w:val="21"/>
        </w:rPr>
      </w:pPr>
      <w:r>
        <w:rPr>
          <w:rFonts w:hint="eastAsia" w:ascii="宋体" w:hAnsi="宋体" w:cs="宋体"/>
          <w:szCs w:val="21"/>
        </w:rPr>
        <w:t>投标方：（盖章）</w:t>
      </w:r>
    </w:p>
    <w:p>
      <w:pPr>
        <w:pStyle w:val="7"/>
        <w:widowControl/>
        <w:spacing w:line="600" w:lineRule="exact"/>
        <w:ind w:firstLine="480"/>
        <w:rPr>
          <w:rFonts w:ascii="宋体" w:hAnsi="宋体" w:cs="宋体"/>
          <w:szCs w:val="21"/>
        </w:rPr>
      </w:pPr>
    </w:p>
    <w:p>
      <w:pPr>
        <w:pStyle w:val="7"/>
        <w:widowControl/>
        <w:spacing w:line="600" w:lineRule="exact"/>
        <w:ind w:firstLine="480"/>
        <w:rPr>
          <w:rFonts w:ascii="宋体" w:hAnsi="宋体" w:cs="宋体"/>
          <w:szCs w:val="21"/>
        </w:rPr>
      </w:pPr>
      <w:r>
        <w:rPr>
          <w:rFonts w:hint="eastAsia" w:ascii="宋体" w:hAnsi="宋体" w:cs="宋体"/>
          <w:szCs w:val="21"/>
        </w:rPr>
        <w:t>法定代表人：（签字、盖章）</w:t>
      </w:r>
    </w:p>
    <w:p>
      <w:pPr>
        <w:pStyle w:val="7"/>
        <w:widowControl/>
        <w:spacing w:line="600" w:lineRule="exact"/>
        <w:ind w:firstLine="480"/>
        <w:rPr>
          <w:rFonts w:ascii="宋体" w:hAnsi="宋体" w:cs="宋体"/>
          <w:szCs w:val="21"/>
        </w:rPr>
      </w:pPr>
    </w:p>
    <w:p>
      <w:pPr>
        <w:widowControl/>
        <w:jc w:val="left"/>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p>
    <w:p>
      <w:pPr>
        <w:adjustRightInd w:val="0"/>
        <w:snapToGrid w:val="0"/>
        <w:spacing w:line="360" w:lineRule="auto"/>
        <w:outlineLvl w:val="1"/>
        <w:rPr>
          <w:rFonts w:ascii="宋体" w:hAnsi="宋体"/>
          <w:b/>
          <w:bCs/>
          <w:sz w:val="32"/>
          <w:szCs w:val="32"/>
        </w:rPr>
      </w:pPr>
      <w:r>
        <w:rPr>
          <w:rFonts w:hint="eastAsia" w:ascii="宋体" w:hAnsi="宋体"/>
          <w:b/>
          <w:bCs/>
          <w:sz w:val="32"/>
          <w:szCs w:val="32"/>
        </w:rPr>
        <w:t xml:space="preserve">          </w:t>
      </w:r>
      <w:r>
        <w:rPr>
          <w:rFonts w:ascii="宋体" w:hAnsi="宋体"/>
          <w:b/>
          <w:bCs/>
          <w:sz w:val="32"/>
          <w:szCs w:val="32"/>
        </w:rPr>
        <w:t>附件</w:t>
      </w:r>
      <w:r>
        <w:rPr>
          <w:rFonts w:hint="eastAsia" w:ascii="宋体" w:hAnsi="宋体"/>
          <w:b/>
          <w:bCs/>
          <w:sz w:val="32"/>
          <w:szCs w:val="32"/>
        </w:rPr>
        <w:t>四</w:t>
      </w:r>
      <w:r>
        <w:rPr>
          <w:rFonts w:ascii="宋体" w:hAnsi="宋体"/>
          <w:b/>
          <w:bCs/>
          <w:sz w:val="32"/>
          <w:szCs w:val="32"/>
        </w:rPr>
        <w:t>：投标人</w:t>
      </w:r>
      <w:r>
        <w:rPr>
          <w:rFonts w:hint="eastAsia" w:ascii="宋体" w:hAnsi="宋体"/>
          <w:b/>
          <w:bCs/>
          <w:sz w:val="32"/>
          <w:szCs w:val="32"/>
        </w:rPr>
        <w:t>类似</w:t>
      </w:r>
      <w:r>
        <w:rPr>
          <w:rFonts w:ascii="宋体" w:hAnsi="宋体"/>
          <w:b/>
          <w:bCs/>
          <w:sz w:val="32"/>
          <w:szCs w:val="32"/>
        </w:rPr>
        <w:t>业绩与业务能力</w:t>
      </w:r>
      <w:bookmarkEnd w:id="50"/>
    </w:p>
    <w:p>
      <w:pPr>
        <w:spacing w:line="360" w:lineRule="auto"/>
        <w:ind w:firstLine="480" w:firstLineChars="200"/>
        <w:rPr>
          <w:rFonts w:ascii="宋体" w:hAnsi="宋体"/>
          <w:sz w:val="24"/>
          <w:szCs w:val="24"/>
        </w:rPr>
      </w:pPr>
    </w:p>
    <w:p>
      <w:pPr>
        <w:spacing w:line="360" w:lineRule="auto"/>
        <w:ind w:firstLine="480" w:firstLineChars="200"/>
        <w:rPr>
          <w:rFonts w:ascii="宋体" w:hAnsi="宋体"/>
          <w:sz w:val="24"/>
          <w:szCs w:val="24"/>
        </w:rPr>
      </w:pPr>
    </w:p>
    <w:p>
      <w:pPr>
        <w:spacing w:line="360" w:lineRule="auto"/>
        <w:ind w:firstLine="480" w:firstLineChars="200"/>
        <w:rPr>
          <w:rFonts w:ascii="宋体" w:hAnsi="宋体"/>
          <w:sz w:val="24"/>
          <w:szCs w:val="24"/>
        </w:rPr>
      </w:pPr>
    </w:p>
    <w:p>
      <w:pPr>
        <w:spacing w:line="360" w:lineRule="auto"/>
        <w:rPr>
          <w:rFonts w:ascii="宋体" w:hAnsi="宋体"/>
          <w:sz w:val="24"/>
          <w:szCs w:val="24"/>
          <w:u w:val="single"/>
        </w:rPr>
      </w:pPr>
      <w:r>
        <w:rPr>
          <w:rFonts w:ascii="宋体" w:hAnsi="宋体"/>
          <w:sz w:val="24"/>
          <w:szCs w:val="24"/>
        </w:rPr>
        <w:t>投标人名称：</w:t>
      </w:r>
      <w:r>
        <w:rPr>
          <w:rFonts w:ascii="宋体" w:hAnsi="宋体"/>
          <w:sz w:val="24"/>
          <w:szCs w:val="24"/>
          <w:u w:val="single"/>
        </w:rPr>
        <w:t xml:space="preserve">                            </w:t>
      </w:r>
    </w:p>
    <w:p>
      <w:pPr>
        <w:spacing w:line="360" w:lineRule="auto"/>
        <w:rPr>
          <w:rFonts w:ascii="宋体" w:hAnsi="宋体"/>
          <w:sz w:val="24"/>
          <w:szCs w:val="24"/>
          <w:u w:val="single"/>
        </w:rPr>
      </w:pPr>
    </w:p>
    <w:p>
      <w:pPr>
        <w:spacing w:line="360" w:lineRule="auto"/>
        <w:ind w:firstLine="472" w:firstLineChars="196"/>
        <w:rPr>
          <w:rFonts w:ascii="宋体" w:hAnsi="宋体"/>
          <w:b/>
          <w:kern w:val="0"/>
          <w:sz w:val="24"/>
          <w:szCs w:val="24"/>
        </w:rPr>
      </w:pPr>
      <w:r>
        <w:rPr>
          <w:rFonts w:ascii="宋体" w:hAnsi="宋体"/>
          <w:b/>
          <w:kern w:val="0"/>
          <w:sz w:val="24"/>
          <w:szCs w:val="24"/>
        </w:rPr>
        <w:t>类似</w:t>
      </w:r>
      <w:r>
        <w:rPr>
          <w:rFonts w:hint="eastAsia" w:ascii="宋体" w:hAnsi="宋体"/>
          <w:b/>
          <w:kern w:val="0"/>
          <w:sz w:val="24"/>
          <w:szCs w:val="24"/>
        </w:rPr>
        <w:t>技术</w:t>
      </w:r>
      <w:r>
        <w:rPr>
          <w:rFonts w:ascii="宋体" w:hAnsi="宋体"/>
          <w:b/>
          <w:kern w:val="0"/>
          <w:sz w:val="24"/>
          <w:szCs w:val="24"/>
        </w:rPr>
        <w:t>服务经验</w:t>
      </w:r>
    </w:p>
    <w:p>
      <w:pPr>
        <w:spacing w:line="360" w:lineRule="auto"/>
        <w:rPr>
          <w:rFonts w:ascii="宋体" w:hAnsi="宋体"/>
          <w:sz w:val="24"/>
          <w:szCs w:val="24"/>
        </w:rPr>
      </w:pPr>
    </w:p>
    <w:tbl>
      <w:tblPr>
        <w:tblStyle w:val="24"/>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1513"/>
        <w:gridCol w:w="1389"/>
        <w:gridCol w:w="1912"/>
        <w:gridCol w:w="1583"/>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4" w:type="dxa"/>
            <w:vAlign w:val="center"/>
          </w:tcPr>
          <w:p>
            <w:pPr>
              <w:adjustRightInd w:val="0"/>
              <w:snapToGrid w:val="0"/>
              <w:spacing w:line="360" w:lineRule="auto"/>
              <w:rPr>
                <w:rFonts w:ascii="宋体" w:hAnsi="宋体"/>
                <w:b/>
                <w:sz w:val="24"/>
                <w:szCs w:val="24"/>
              </w:rPr>
            </w:pPr>
            <w:r>
              <w:rPr>
                <w:rFonts w:ascii="宋体" w:hAnsi="宋体"/>
                <w:b/>
                <w:sz w:val="24"/>
                <w:szCs w:val="24"/>
              </w:rPr>
              <w:t>序号</w:t>
            </w:r>
          </w:p>
        </w:tc>
        <w:tc>
          <w:tcPr>
            <w:tcW w:w="1513" w:type="dxa"/>
            <w:vAlign w:val="center"/>
          </w:tcPr>
          <w:p>
            <w:pPr>
              <w:adjustRightInd w:val="0"/>
              <w:snapToGrid w:val="0"/>
              <w:spacing w:line="360" w:lineRule="auto"/>
              <w:rPr>
                <w:rFonts w:ascii="宋体" w:hAnsi="宋体"/>
                <w:b/>
                <w:sz w:val="24"/>
                <w:szCs w:val="24"/>
              </w:rPr>
            </w:pPr>
            <w:r>
              <w:rPr>
                <w:rFonts w:ascii="宋体" w:hAnsi="宋体"/>
                <w:b/>
                <w:sz w:val="24"/>
                <w:szCs w:val="24"/>
              </w:rPr>
              <w:t>项目名称</w:t>
            </w:r>
          </w:p>
        </w:tc>
        <w:tc>
          <w:tcPr>
            <w:tcW w:w="1389" w:type="dxa"/>
            <w:vAlign w:val="center"/>
          </w:tcPr>
          <w:p>
            <w:pPr>
              <w:adjustRightInd w:val="0"/>
              <w:snapToGrid w:val="0"/>
              <w:spacing w:line="360" w:lineRule="auto"/>
              <w:rPr>
                <w:rFonts w:ascii="宋体" w:hAnsi="宋体"/>
                <w:b/>
                <w:sz w:val="24"/>
                <w:szCs w:val="24"/>
              </w:rPr>
            </w:pPr>
            <w:r>
              <w:rPr>
                <w:rFonts w:ascii="宋体" w:hAnsi="宋体"/>
                <w:b/>
                <w:sz w:val="24"/>
                <w:szCs w:val="24"/>
              </w:rPr>
              <w:t>委托方</w:t>
            </w:r>
          </w:p>
        </w:tc>
        <w:tc>
          <w:tcPr>
            <w:tcW w:w="1912" w:type="dxa"/>
            <w:vAlign w:val="center"/>
          </w:tcPr>
          <w:p>
            <w:pPr>
              <w:adjustRightInd w:val="0"/>
              <w:snapToGrid w:val="0"/>
              <w:spacing w:line="360" w:lineRule="auto"/>
              <w:rPr>
                <w:rFonts w:ascii="宋体" w:hAnsi="宋体"/>
                <w:b/>
                <w:sz w:val="24"/>
                <w:szCs w:val="24"/>
              </w:rPr>
            </w:pPr>
            <w:r>
              <w:rPr>
                <w:rFonts w:ascii="宋体" w:hAnsi="宋体"/>
                <w:b/>
                <w:sz w:val="24"/>
                <w:szCs w:val="24"/>
              </w:rPr>
              <w:t>工程投资规模</w:t>
            </w:r>
          </w:p>
        </w:tc>
        <w:tc>
          <w:tcPr>
            <w:tcW w:w="1583" w:type="dxa"/>
            <w:vAlign w:val="center"/>
          </w:tcPr>
          <w:p>
            <w:pPr>
              <w:adjustRightInd w:val="0"/>
              <w:snapToGrid w:val="0"/>
              <w:spacing w:line="360" w:lineRule="auto"/>
              <w:rPr>
                <w:rFonts w:ascii="宋体" w:hAnsi="宋体"/>
                <w:b/>
                <w:sz w:val="24"/>
                <w:szCs w:val="24"/>
              </w:rPr>
            </w:pPr>
            <w:r>
              <w:rPr>
                <w:rFonts w:ascii="宋体" w:hAnsi="宋体"/>
                <w:b/>
                <w:sz w:val="24"/>
                <w:szCs w:val="24"/>
              </w:rPr>
              <w:t>服务内容</w:t>
            </w:r>
          </w:p>
        </w:tc>
        <w:tc>
          <w:tcPr>
            <w:tcW w:w="1297" w:type="dxa"/>
            <w:vAlign w:val="center"/>
          </w:tcPr>
          <w:p>
            <w:pPr>
              <w:adjustRightInd w:val="0"/>
              <w:snapToGrid w:val="0"/>
              <w:spacing w:line="360" w:lineRule="auto"/>
              <w:rPr>
                <w:rFonts w:ascii="宋体" w:hAnsi="宋体"/>
                <w:b/>
                <w:sz w:val="24"/>
                <w:szCs w:val="24"/>
              </w:rPr>
            </w:pPr>
            <w:r>
              <w:rPr>
                <w:rFonts w:ascii="宋体" w:hAnsi="宋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4" w:type="dxa"/>
            <w:vAlign w:val="center"/>
          </w:tcPr>
          <w:p>
            <w:pPr>
              <w:adjustRightInd w:val="0"/>
              <w:snapToGrid w:val="0"/>
              <w:spacing w:line="360" w:lineRule="auto"/>
              <w:ind w:firstLine="560"/>
              <w:jc w:val="center"/>
              <w:rPr>
                <w:rFonts w:ascii="宋体" w:hAnsi="宋体"/>
                <w:sz w:val="24"/>
                <w:szCs w:val="24"/>
              </w:rPr>
            </w:pPr>
          </w:p>
        </w:tc>
        <w:tc>
          <w:tcPr>
            <w:tcW w:w="1513" w:type="dxa"/>
            <w:vAlign w:val="center"/>
          </w:tcPr>
          <w:p>
            <w:pPr>
              <w:adjustRightInd w:val="0"/>
              <w:snapToGrid w:val="0"/>
              <w:spacing w:line="360" w:lineRule="auto"/>
              <w:ind w:firstLine="560"/>
              <w:rPr>
                <w:rFonts w:ascii="宋体" w:hAnsi="宋体"/>
                <w:sz w:val="24"/>
                <w:szCs w:val="24"/>
              </w:rPr>
            </w:pPr>
          </w:p>
        </w:tc>
        <w:tc>
          <w:tcPr>
            <w:tcW w:w="1389" w:type="dxa"/>
            <w:vAlign w:val="center"/>
          </w:tcPr>
          <w:p>
            <w:pPr>
              <w:adjustRightInd w:val="0"/>
              <w:snapToGrid w:val="0"/>
              <w:spacing w:line="360" w:lineRule="auto"/>
              <w:ind w:firstLine="560"/>
              <w:rPr>
                <w:rFonts w:ascii="宋体" w:hAnsi="宋体"/>
                <w:sz w:val="24"/>
                <w:szCs w:val="24"/>
              </w:rPr>
            </w:pPr>
          </w:p>
        </w:tc>
        <w:tc>
          <w:tcPr>
            <w:tcW w:w="1912" w:type="dxa"/>
            <w:vAlign w:val="center"/>
          </w:tcPr>
          <w:p>
            <w:pPr>
              <w:adjustRightInd w:val="0"/>
              <w:snapToGrid w:val="0"/>
              <w:spacing w:line="360" w:lineRule="auto"/>
              <w:ind w:firstLine="560"/>
              <w:rPr>
                <w:rFonts w:ascii="宋体" w:hAnsi="宋体"/>
                <w:sz w:val="24"/>
                <w:szCs w:val="24"/>
              </w:rPr>
            </w:pPr>
          </w:p>
        </w:tc>
        <w:tc>
          <w:tcPr>
            <w:tcW w:w="1583" w:type="dxa"/>
            <w:vAlign w:val="center"/>
          </w:tcPr>
          <w:p>
            <w:pPr>
              <w:adjustRightInd w:val="0"/>
              <w:snapToGrid w:val="0"/>
              <w:spacing w:line="360" w:lineRule="auto"/>
              <w:ind w:firstLine="560"/>
              <w:rPr>
                <w:rFonts w:ascii="宋体" w:hAnsi="宋体"/>
                <w:sz w:val="24"/>
                <w:szCs w:val="24"/>
              </w:rPr>
            </w:pPr>
          </w:p>
        </w:tc>
        <w:tc>
          <w:tcPr>
            <w:tcW w:w="1297" w:type="dxa"/>
            <w:vAlign w:val="center"/>
          </w:tcPr>
          <w:p>
            <w:pPr>
              <w:adjustRightInd w:val="0"/>
              <w:snapToGrid w:val="0"/>
              <w:spacing w:line="360" w:lineRule="auto"/>
              <w:ind w:firstLine="56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4" w:type="dxa"/>
            <w:vAlign w:val="center"/>
          </w:tcPr>
          <w:p>
            <w:pPr>
              <w:adjustRightInd w:val="0"/>
              <w:snapToGrid w:val="0"/>
              <w:spacing w:line="360" w:lineRule="auto"/>
              <w:ind w:firstLine="560"/>
              <w:jc w:val="center"/>
              <w:rPr>
                <w:rFonts w:ascii="宋体" w:hAnsi="宋体"/>
                <w:sz w:val="24"/>
                <w:szCs w:val="24"/>
              </w:rPr>
            </w:pPr>
          </w:p>
        </w:tc>
        <w:tc>
          <w:tcPr>
            <w:tcW w:w="1513" w:type="dxa"/>
            <w:vAlign w:val="center"/>
          </w:tcPr>
          <w:p>
            <w:pPr>
              <w:adjustRightInd w:val="0"/>
              <w:snapToGrid w:val="0"/>
              <w:spacing w:line="360" w:lineRule="auto"/>
              <w:ind w:firstLine="560"/>
              <w:rPr>
                <w:rFonts w:ascii="宋体" w:hAnsi="宋体"/>
                <w:sz w:val="24"/>
                <w:szCs w:val="24"/>
              </w:rPr>
            </w:pPr>
          </w:p>
        </w:tc>
        <w:tc>
          <w:tcPr>
            <w:tcW w:w="1389" w:type="dxa"/>
            <w:vAlign w:val="center"/>
          </w:tcPr>
          <w:p>
            <w:pPr>
              <w:adjustRightInd w:val="0"/>
              <w:snapToGrid w:val="0"/>
              <w:spacing w:line="360" w:lineRule="auto"/>
              <w:ind w:firstLine="560"/>
              <w:rPr>
                <w:rFonts w:ascii="宋体" w:hAnsi="宋体"/>
                <w:sz w:val="24"/>
                <w:szCs w:val="24"/>
              </w:rPr>
            </w:pPr>
          </w:p>
        </w:tc>
        <w:tc>
          <w:tcPr>
            <w:tcW w:w="1912" w:type="dxa"/>
            <w:vAlign w:val="center"/>
          </w:tcPr>
          <w:p>
            <w:pPr>
              <w:adjustRightInd w:val="0"/>
              <w:snapToGrid w:val="0"/>
              <w:spacing w:line="360" w:lineRule="auto"/>
              <w:ind w:firstLine="560"/>
              <w:rPr>
                <w:rFonts w:ascii="宋体" w:hAnsi="宋体"/>
                <w:sz w:val="24"/>
                <w:szCs w:val="24"/>
              </w:rPr>
            </w:pPr>
          </w:p>
        </w:tc>
        <w:tc>
          <w:tcPr>
            <w:tcW w:w="1583" w:type="dxa"/>
            <w:vAlign w:val="center"/>
          </w:tcPr>
          <w:p>
            <w:pPr>
              <w:adjustRightInd w:val="0"/>
              <w:snapToGrid w:val="0"/>
              <w:spacing w:line="360" w:lineRule="auto"/>
              <w:ind w:firstLine="560"/>
              <w:rPr>
                <w:rFonts w:ascii="宋体" w:hAnsi="宋体"/>
                <w:sz w:val="24"/>
                <w:szCs w:val="24"/>
              </w:rPr>
            </w:pPr>
          </w:p>
        </w:tc>
        <w:tc>
          <w:tcPr>
            <w:tcW w:w="1297" w:type="dxa"/>
            <w:vAlign w:val="center"/>
          </w:tcPr>
          <w:p>
            <w:pPr>
              <w:adjustRightInd w:val="0"/>
              <w:snapToGrid w:val="0"/>
              <w:spacing w:line="360" w:lineRule="auto"/>
              <w:ind w:firstLine="56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874" w:type="dxa"/>
            <w:vAlign w:val="center"/>
          </w:tcPr>
          <w:p>
            <w:pPr>
              <w:adjustRightInd w:val="0"/>
              <w:snapToGrid w:val="0"/>
              <w:spacing w:line="360" w:lineRule="auto"/>
              <w:ind w:firstLine="560"/>
              <w:jc w:val="center"/>
              <w:rPr>
                <w:rFonts w:ascii="宋体" w:hAnsi="宋体"/>
                <w:sz w:val="24"/>
                <w:szCs w:val="24"/>
              </w:rPr>
            </w:pPr>
          </w:p>
        </w:tc>
        <w:tc>
          <w:tcPr>
            <w:tcW w:w="1513" w:type="dxa"/>
            <w:vAlign w:val="center"/>
          </w:tcPr>
          <w:p>
            <w:pPr>
              <w:adjustRightInd w:val="0"/>
              <w:snapToGrid w:val="0"/>
              <w:spacing w:line="360" w:lineRule="auto"/>
              <w:ind w:firstLine="560"/>
              <w:rPr>
                <w:rFonts w:ascii="宋体" w:hAnsi="宋体"/>
                <w:sz w:val="24"/>
                <w:szCs w:val="24"/>
              </w:rPr>
            </w:pPr>
          </w:p>
        </w:tc>
        <w:tc>
          <w:tcPr>
            <w:tcW w:w="1389" w:type="dxa"/>
            <w:vAlign w:val="center"/>
          </w:tcPr>
          <w:p>
            <w:pPr>
              <w:adjustRightInd w:val="0"/>
              <w:snapToGrid w:val="0"/>
              <w:spacing w:line="360" w:lineRule="auto"/>
              <w:ind w:firstLine="560"/>
              <w:rPr>
                <w:rFonts w:ascii="宋体" w:hAnsi="宋体"/>
                <w:sz w:val="24"/>
                <w:szCs w:val="24"/>
              </w:rPr>
            </w:pPr>
          </w:p>
        </w:tc>
        <w:tc>
          <w:tcPr>
            <w:tcW w:w="1912" w:type="dxa"/>
            <w:vAlign w:val="center"/>
          </w:tcPr>
          <w:p>
            <w:pPr>
              <w:adjustRightInd w:val="0"/>
              <w:snapToGrid w:val="0"/>
              <w:spacing w:line="360" w:lineRule="auto"/>
              <w:ind w:firstLine="560"/>
              <w:rPr>
                <w:rFonts w:ascii="宋体" w:hAnsi="宋体"/>
                <w:sz w:val="24"/>
                <w:szCs w:val="24"/>
              </w:rPr>
            </w:pPr>
          </w:p>
        </w:tc>
        <w:tc>
          <w:tcPr>
            <w:tcW w:w="1583" w:type="dxa"/>
            <w:vAlign w:val="center"/>
          </w:tcPr>
          <w:p>
            <w:pPr>
              <w:adjustRightInd w:val="0"/>
              <w:snapToGrid w:val="0"/>
              <w:spacing w:line="360" w:lineRule="auto"/>
              <w:ind w:firstLine="560"/>
              <w:rPr>
                <w:rFonts w:ascii="宋体" w:hAnsi="宋体"/>
                <w:sz w:val="24"/>
                <w:szCs w:val="24"/>
              </w:rPr>
            </w:pPr>
          </w:p>
        </w:tc>
        <w:tc>
          <w:tcPr>
            <w:tcW w:w="1297" w:type="dxa"/>
            <w:vAlign w:val="center"/>
          </w:tcPr>
          <w:p>
            <w:pPr>
              <w:adjustRightInd w:val="0"/>
              <w:snapToGrid w:val="0"/>
              <w:spacing w:line="360" w:lineRule="auto"/>
              <w:ind w:firstLine="56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4" w:type="dxa"/>
            <w:vAlign w:val="center"/>
          </w:tcPr>
          <w:p>
            <w:pPr>
              <w:adjustRightInd w:val="0"/>
              <w:snapToGrid w:val="0"/>
              <w:spacing w:line="360" w:lineRule="auto"/>
              <w:ind w:firstLine="560"/>
              <w:jc w:val="center"/>
              <w:rPr>
                <w:rFonts w:ascii="宋体" w:hAnsi="宋体"/>
                <w:sz w:val="24"/>
                <w:szCs w:val="24"/>
              </w:rPr>
            </w:pPr>
          </w:p>
        </w:tc>
        <w:tc>
          <w:tcPr>
            <w:tcW w:w="1513" w:type="dxa"/>
            <w:vAlign w:val="center"/>
          </w:tcPr>
          <w:p>
            <w:pPr>
              <w:adjustRightInd w:val="0"/>
              <w:snapToGrid w:val="0"/>
              <w:spacing w:line="360" w:lineRule="auto"/>
              <w:ind w:firstLine="560"/>
              <w:rPr>
                <w:rFonts w:ascii="宋体" w:hAnsi="宋体"/>
                <w:sz w:val="24"/>
                <w:szCs w:val="24"/>
              </w:rPr>
            </w:pPr>
          </w:p>
        </w:tc>
        <w:tc>
          <w:tcPr>
            <w:tcW w:w="1389" w:type="dxa"/>
            <w:vAlign w:val="center"/>
          </w:tcPr>
          <w:p>
            <w:pPr>
              <w:adjustRightInd w:val="0"/>
              <w:snapToGrid w:val="0"/>
              <w:spacing w:line="360" w:lineRule="auto"/>
              <w:ind w:firstLine="560"/>
              <w:rPr>
                <w:rFonts w:ascii="宋体" w:hAnsi="宋体"/>
                <w:sz w:val="24"/>
                <w:szCs w:val="24"/>
              </w:rPr>
            </w:pPr>
          </w:p>
        </w:tc>
        <w:tc>
          <w:tcPr>
            <w:tcW w:w="1912" w:type="dxa"/>
            <w:vAlign w:val="center"/>
          </w:tcPr>
          <w:p>
            <w:pPr>
              <w:adjustRightInd w:val="0"/>
              <w:snapToGrid w:val="0"/>
              <w:spacing w:line="360" w:lineRule="auto"/>
              <w:ind w:firstLine="560"/>
              <w:rPr>
                <w:rFonts w:ascii="宋体" w:hAnsi="宋体"/>
                <w:sz w:val="24"/>
                <w:szCs w:val="24"/>
              </w:rPr>
            </w:pPr>
          </w:p>
        </w:tc>
        <w:tc>
          <w:tcPr>
            <w:tcW w:w="1583" w:type="dxa"/>
            <w:vAlign w:val="center"/>
          </w:tcPr>
          <w:p>
            <w:pPr>
              <w:adjustRightInd w:val="0"/>
              <w:snapToGrid w:val="0"/>
              <w:spacing w:line="360" w:lineRule="auto"/>
              <w:ind w:firstLine="560"/>
              <w:rPr>
                <w:rFonts w:ascii="宋体" w:hAnsi="宋体"/>
                <w:sz w:val="24"/>
                <w:szCs w:val="24"/>
              </w:rPr>
            </w:pPr>
          </w:p>
        </w:tc>
        <w:tc>
          <w:tcPr>
            <w:tcW w:w="1297" w:type="dxa"/>
            <w:vAlign w:val="center"/>
          </w:tcPr>
          <w:p>
            <w:pPr>
              <w:adjustRightInd w:val="0"/>
              <w:snapToGrid w:val="0"/>
              <w:spacing w:line="360" w:lineRule="auto"/>
              <w:ind w:firstLine="56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4" w:type="dxa"/>
            <w:vAlign w:val="center"/>
          </w:tcPr>
          <w:p>
            <w:pPr>
              <w:adjustRightInd w:val="0"/>
              <w:snapToGrid w:val="0"/>
              <w:spacing w:line="360" w:lineRule="auto"/>
              <w:ind w:firstLine="560"/>
              <w:jc w:val="center"/>
              <w:rPr>
                <w:rFonts w:ascii="宋体" w:hAnsi="宋体"/>
                <w:sz w:val="24"/>
                <w:szCs w:val="24"/>
              </w:rPr>
            </w:pPr>
          </w:p>
        </w:tc>
        <w:tc>
          <w:tcPr>
            <w:tcW w:w="1513" w:type="dxa"/>
            <w:vAlign w:val="center"/>
          </w:tcPr>
          <w:p>
            <w:pPr>
              <w:adjustRightInd w:val="0"/>
              <w:snapToGrid w:val="0"/>
              <w:spacing w:line="360" w:lineRule="auto"/>
              <w:ind w:firstLine="560"/>
              <w:rPr>
                <w:rFonts w:ascii="宋体" w:hAnsi="宋体"/>
                <w:sz w:val="24"/>
                <w:szCs w:val="24"/>
              </w:rPr>
            </w:pPr>
          </w:p>
        </w:tc>
        <w:tc>
          <w:tcPr>
            <w:tcW w:w="1389" w:type="dxa"/>
            <w:vAlign w:val="center"/>
          </w:tcPr>
          <w:p>
            <w:pPr>
              <w:adjustRightInd w:val="0"/>
              <w:snapToGrid w:val="0"/>
              <w:spacing w:line="360" w:lineRule="auto"/>
              <w:ind w:firstLine="560"/>
              <w:rPr>
                <w:rFonts w:ascii="宋体" w:hAnsi="宋体"/>
                <w:sz w:val="24"/>
                <w:szCs w:val="24"/>
              </w:rPr>
            </w:pPr>
          </w:p>
        </w:tc>
        <w:tc>
          <w:tcPr>
            <w:tcW w:w="1912" w:type="dxa"/>
            <w:vAlign w:val="center"/>
          </w:tcPr>
          <w:p>
            <w:pPr>
              <w:adjustRightInd w:val="0"/>
              <w:snapToGrid w:val="0"/>
              <w:spacing w:line="360" w:lineRule="auto"/>
              <w:ind w:firstLine="560"/>
              <w:rPr>
                <w:rFonts w:ascii="宋体" w:hAnsi="宋体"/>
                <w:sz w:val="24"/>
                <w:szCs w:val="24"/>
              </w:rPr>
            </w:pPr>
          </w:p>
        </w:tc>
        <w:tc>
          <w:tcPr>
            <w:tcW w:w="1583" w:type="dxa"/>
            <w:vAlign w:val="center"/>
          </w:tcPr>
          <w:p>
            <w:pPr>
              <w:adjustRightInd w:val="0"/>
              <w:snapToGrid w:val="0"/>
              <w:spacing w:line="360" w:lineRule="auto"/>
              <w:ind w:firstLine="560"/>
              <w:rPr>
                <w:rFonts w:ascii="宋体" w:hAnsi="宋体"/>
                <w:sz w:val="24"/>
                <w:szCs w:val="24"/>
              </w:rPr>
            </w:pPr>
          </w:p>
        </w:tc>
        <w:tc>
          <w:tcPr>
            <w:tcW w:w="1297" w:type="dxa"/>
            <w:vAlign w:val="center"/>
          </w:tcPr>
          <w:p>
            <w:pPr>
              <w:adjustRightInd w:val="0"/>
              <w:snapToGrid w:val="0"/>
              <w:spacing w:line="360" w:lineRule="auto"/>
              <w:ind w:firstLine="56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4" w:type="dxa"/>
            <w:vAlign w:val="center"/>
          </w:tcPr>
          <w:p>
            <w:pPr>
              <w:adjustRightInd w:val="0"/>
              <w:snapToGrid w:val="0"/>
              <w:spacing w:line="360" w:lineRule="auto"/>
              <w:ind w:firstLine="560"/>
              <w:jc w:val="center"/>
              <w:rPr>
                <w:rFonts w:ascii="宋体" w:hAnsi="宋体"/>
                <w:sz w:val="24"/>
                <w:szCs w:val="24"/>
              </w:rPr>
            </w:pPr>
          </w:p>
        </w:tc>
        <w:tc>
          <w:tcPr>
            <w:tcW w:w="1513" w:type="dxa"/>
            <w:vAlign w:val="center"/>
          </w:tcPr>
          <w:p>
            <w:pPr>
              <w:adjustRightInd w:val="0"/>
              <w:snapToGrid w:val="0"/>
              <w:spacing w:line="360" w:lineRule="auto"/>
              <w:ind w:firstLine="560"/>
              <w:rPr>
                <w:rFonts w:ascii="宋体" w:hAnsi="宋体"/>
                <w:sz w:val="24"/>
                <w:szCs w:val="24"/>
              </w:rPr>
            </w:pPr>
          </w:p>
        </w:tc>
        <w:tc>
          <w:tcPr>
            <w:tcW w:w="1389" w:type="dxa"/>
            <w:vAlign w:val="center"/>
          </w:tcPr>
          <w:p>
            <w:pPr>
              <w:adjustRightInd w:val="0"/>
              <w:snapToGrid w:val="0"/>
              <w:spacing w:line="360" w:lineRule="auto"/>
              <w:ind w:firstLine="560"/>
              <w:rPr>
                <w:rFonts w:ascii="宋体" w:hAnsi="宋体"/>
                <w:sz w:val="24"/>
                <w:szCs w:val="24"/>
              </w:rPr>
            </w:pPr>
          </w:p>
        </w:tc>
        <w:tc>
          <w:tcPr>
            <w:tcW w:w="1912" w:type="dxa"/>
            <w:vAlign w:val="center"/>
          </w:tcPr>
          <w:p>
            <w:pPr>
              <w:adjustRightInd w:val="0"/>
              <w:snapToGrid w:val="0"/>
              <w:spacing w:line="360" w:lineRule="auto"/>
              <w:ind w:firstLine="560"/>
              <w:rPr>
                <w:rFonts w:ascii="宋体" w:hAnsi="宋体"/>
                <w:sz w:val="24"/>
                <w:szCs w:val="24"/>
              </w:rPr>
            </w:pPr>
          </w:p>
        </w:tc>
        <w:tc>
          <w:tcPr>
            <w:tcW w:w="1583" w:type="dxa"/>
            <w:vAlign w:val="center"/>
          </w:tcPr>
          <w:p>
            <w:pPr>
              <w:adjustRightInd w:val="0"/>
              <w:snapToGrid w:val="0"/>
              <w:spacing w:line="360" w:lineRule="auto"/>
              <w:ind w:firstLine="560"/>
              <w:rPr>
                <w:rFonts w:ascii="宋体" w:hAnsi="宋体"/>
                <w:sz w:val="24"/>
                <w:szCs w:val="24"/>
              </w:rPr>
            </w:pPr>
          </w:p>
        </w:tc>
        <w:tc>
          <w:tcPr>
            <w:tcW w:w="1297" w:type="dxa"/>
            <w:vAlign w:val="center"/>
          </w:tcPr>
          <w:p>
            <w:pPr>
              <w:adjustRightInd w:val="0"/>
              <w:snapToGrid w:val="0"/>
              <w:spacing w:line="360" w:lineRule="auto"/>
              <w:ind w:firstLine="56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874" w:type="dxa"/>
            <w:vAlign w:val="center"/>
          </w:tcPr>
          <w:p>
            <w:pPr>
              <w:adjustRightInd w:val="0"/>
              <w:snapToGrid w:val="0"/>
              <w:spacing w:line="360" w:lineRule="auto"/>
              <w:ind w:firstLine="560"/>
              <w:jc w:val="center"/>
              <w:rPr>
                <w:rFonts w:ascii="宋体" w:hAnsi="宋体"/>
                <w:sz w:val="24"/>
                <w:szCs w:val="24"/>
              </w:rPr>
            </w:pPr>
          </w:p>
        </w:tc>
        <w:tc>
          <w:tcPr>
            <w:tcW w:w="1513" w:type="dxa"/>
            <w:vAlign w:val="center"/>
          </w:tcPr>
          <w:p>
            <w:pPr>
              <w:adjustRightInd w:val="0"/>
              <w:snapToGrid w:val="0"/>
              <w:spacing w:line="360" w:lineRule="auto"/>
              <w:ind w:firstLine="560"/>
              <w:rPr>
                <w:rFonts w:ascii="宋体" w:hAnsi="宋体"/>
                <w:sz w:val="24"/>
                <w:szCs w:val="24"/>
              </w:rPr>
            </w:pPr>
          </w:p>
        </w:tc>
        <w:tc>
          <w:tcPr>
            <w:tcW w:w="1389" w:type="dxa"/>
            <w:vAlign w:val="center"/>
          </w:tcPr>
          <w:p>
            <w:pPr>
              <w:adjustRightInd w:val="0"/>
              <w:snapToGrid w:val="0"/>
              <w:spacing w:line="360" w:lineRule="auto"/>
              <w:ind w:firstLine="560"/>
              <w:rPr>
                <w:rFonts w:ascii="宋体" w:hAnsi="宋体"/>
                <w:sz w:val="24"/>
                <w:szCs w:val="24"/>
              </w:rPr>
            </w:pPr>
          </w:p>
        </w:tc>
        <w:tc>
          <w:tcPr>
            <w:tcW w:w="1912" w:type="dxa"/>
            <w:vAlign w:val="center"/>
          </w:tcPr>
          <w:p>
            <w:pPr>
              <w:adjustRightInd w:val="0"/>
              <w:snapToGrid w:val="0"/>
              <w:spacing w:line="360" w:lineRule="auto"/>
              <w:ind w:firstLine="560"/>
              <w:rPr>
                <w:rFonts w:ascii="宋体" w:hAnsi="宋体"/>
                <w:sz w:val="24"/>
                <w:szCs w:val="24"/>
              </w:rPr>
            </w:pPr>
          </w:p>
        </w:tc>
        <w:tc>
          <w:tcPr>
            <w:tcW w:w="1583" w:type="dxa"/>
            <w:vAlign w:val="center"/>
          </w:tcPr>
          <w:p>
            <w:pPr>
              <w:adjustRightInd w:val="0"/>
              <w:snapToGrid w:val="0"/>
              <w:spacing w:line="360" w:lineRule="auto"/>
              <w:ind w:firstLine="560"/>
              <w:rPr>
                <w:rFonts w:ascii="宋体" w:hAnsi="宋体"/>
                <w:sz w:val="24"/>
                <w:szCs w:val="24"/>
              </w:rPr>
            </w:pPr>
          </w:p>
        </w:tc>
        <w:tc>
          <w:tcPr>
            <w:tcW w:w="1297" w:type="dxa"/>
            <w:vAlign w:val="center"/>
          </w:tcPr>
          <w:p>
            <w:pPr>
              <w:adjustRightInd w:val="0"/>
              <w:snapToGrid w:val="0"/>
              <w:spacing w:line="360" w:lineRule="auto"/>
              <w:ind w:firstLine="560"/>
              <w:rPr>
                <w:rFonts w:ascii="宋体" w:hAnsi="宋体"/>
                <w:sz w:val="24"/>
                <w:szCs w:val="24"/>
              </w:rPr>
            </w:pPr>
          </w:p>
        </w:tc>
      </w:tr>
    </w:tbl>
    <w:p>
      <w:pPr>
        <w:spacing w:line="360" w:lineRule="auto"/>
        <w:ind w:firstLine="540" w:firstLineChars="225"/>
        <w:rPr>
          <w:rFonts w:ascii="宋体" w:hAnsi="宋体"/>
          <w:sz w:val="24"/>
          <w:szCs w:val="24"/>
        </w:rPr>
      </w:pPr>
    </w:p>
    <w:p>
      <w:pPr>
        <w:spacing w:line="360" w:lineRule="auto"/>
        <w:ind w:firstLine="540" w:firstLineChars="225"/>
        <w:rPr>
          <w:rFonts w:ascii="宋体" w:hAnsi="宋体"/>
          <w:sz w:val="24"/>
          <w:szCs w:val="24"/>
        </w:rPr>
      </w:pPr>
    </w:p>
    <w:p>
      <w:pPr>
        <w:spacing w:line="360" w:lineRule="auto"/>
        <w:ind w:firstLine="540" w:firstLineChars="225"/>
        <w:rPr>
          <w:rFonts w:ascii="宋体" w:hAnsi="宋体"/>
          <w:sz w:val="24"/>
          <w:szCs w:val="24"/>
        </w:rPr>
      </w:pPr>
      <w:r>
        <w:rPr>
          <w:rFonts w:ascii="宋体" w:hAnsi="宋体"/>
          <w:sz w:val="24"/>
          <w:szCs w:val="24"/>
        </w:rPr>
        <w:t>投标人可根据上述表格格式自行扩展</w:t>
      </w:r>
      <w:r>
        <w:rPr>
          <w:rFonts w:hint="eastAsia" w:ascii="宋体" w:hAnsi="宋体"/>
          <w:sz w:val="24"/>
          <w:szCs w:val="24"/>
        </w:rPr>
        <w:t>，合同复印件附后并盖投标人公章。</w:t>
      </w:r>
    </w:p>
    <w:p>
      <w:pPr>
        <w:autoSpaceDE w:val="0"/>
        <w:autoSpaceDN w:val="0"/>
        <w:adjustRightInd w:val="0"/>
        <w:spacing w:line="360" w:lineRule="auto"/>
        <w:jc w:val="center"/>
        <w:rPr>
          <w:rFonts w:ascii="宋体" w:hAnsi="宋体"/>
          <w:b/>
          <w:bCs/>
          <w:sz w:val="24"/>
          <w:szCs w:val="24"/>
        </w:rPr>
      </w:pP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授权代表签字：</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公       章：</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rPr>
      </w:pPr>
      <w:r>
        <w:rPr>
          <w:rFonts w:ascii="宋体" w:hAnsi="宋体"/>
          <w:bCs/>
          <w:sz w:val="24"/>
          <w:szCs w:val="24"/>
        </w:rPr>
        <w:t>日       期：</w:t>
      </w:r>
      <w:r>
        <w:rPr>
          <w:rFonts w:ascii="宋体" w:hAnsi="宋体"/>
          <w:bCs/>
          <w:sz w:val="24"/>
          <w:szCs w:val="24"/>
          <w:u w:val="single"/>
        </w:rPr>
        <w:t xml:space="preserve">                       </w:t>
      </w:r>
    </w:p>
    <w:p>
      <w:pPr>
        <w:adjustRightInd w:val="0"/>
        <w:snapToGrid w:val="0"/>
        <w:spacing w:line="360" w:lineRule="auto"/>
        <w:jc w:val="center"/>
        <w:outlineLvl w:val="1"/>
        <w:rPr>
          <w:rFonts w:ascii="宋体" w:hAnsi="宋体"/>
          <w:b/>
          <w:bCs/>
          <w:sz w:val="24"/>
          <w:szCs w:val="24"/>
        </w:rPr>
      </w:pPr>
      <w:r>
        <w:rPr>
          <w:rFonts w:ascii="宋体" w:hAnsi="宋体"/>
          <w:b/>
          <w:bCs/>
          <w:sz w:val="24"/>
          <w:szCs w:val="24"/>
        </w:rPr>
        <w:br w:type="page"/>
      </w:r>
      <w:bookmarkStart w:id="51" w:name="_Toc325046392"/>
    </w:p>
    <w:p>
      <w:pPr>
        <w:adjustRightInd w:val="0"/>
        <w:snapToGrid w:val="0"/>
        <w:spacing w:line="360" w:lineRule="auto"/>
        <w:jc w:val="center"/>
        <w:outlineLvl w:val="1"/>
        <w:rPr>
          <w:rFonts w:ascii="宋体" w:hAnsi="宋体"/>
          <w:b/>
          <w:bCs/>
          <w:sz w:val="32"/>
          <w:szCs w:val="32"/>
        </w:rPr>
      </w:pPr>
      <w:r>
        <w:rPr>
          <w:rFonts w:ascii="宋体" w:hAnsi="宋体"/>
          <w:b/>
          <w:bCs/>
          <w:sz w:val="32"/>
          <w:szCs w:val="32"/>
        </w:rPr>
        <w:t>附件</w:t>
      </w:r>
      <w:r>
        <w:rPr>
          <w:rFonts w:hint="eastAsia" w:ascii="宋体" w:hAnsi="宋体"/>
          <w:b/>
          <w:bCs/>
          <w:sz w:val="32"/>
          <w:szCs w:val="32"/>
        </w:rPr>
        <w:t>五</w:t>
      </w:r>
      <w:r>
        <w:rPr>
          <w:rFonts w:ascii="宋体" w:hAnsi="宋体"/>
          <w:b/>
          <w:bCs/>
          <w:sz w:val="32"/>
          <w:szCs w:val="32"/>
        </w:rPr>
        <w:t>：</w:t>
      </w:r>
      <w:r>
        <w:rPr>
          <w:rFonts w:hint="eastAsia" w:ascii="宋体" w:hAnsi="宋体"/>
          <w:b/>
          <w:bCs/>
          <w:sz w:val="32"/>
          <w:szCs w:val="32"/>
        </w:rPr>
        <w:t>投标人</w:t>
      </w:r>
      <w:r>
        <w:rPr>
          <w:rFonts w:ascii="宋体" w:hAnsi="宋体"/>
          <w:b/>
          <w:bCs/>
          <w:sz w:val="32"/>
          <w:szCs w:val="32"/>
        </w:rPr>
        <w:t>专业人员情况表</w:t>
      </w:r>
      <w:bookmarkEnd w:id="51"/>
    </w:p>
    <w:p>
      <w:pPr>
        <w:spacing w:line="360" w:lineRule="auto"/>
        <w:rPr>
          <w:rFonts w:ascii="宋体" w:hAnsi="宋体"/>
          <w:sz w:val="24"/>
          <w:szCs w:val="24"/>
        </w:rPr>
      </w:pPr>
    </w:p>
    <w:p>
      <w:pPr>
        <w:spacing w:line="360" w:lineRule="auto"/>
        <w:rPr>
          <w:rFonts w:ascii="宋体" w:hAnsi="宋体"/>
          <w:sz w:val="24"/>
          <w:szCs w:val="24"/>
          <w:u w:val="single"/>
        </w:rPr>
      </w:pPr>
      <w:r>
        <w:rPr>
          <w:rFonts w:ascii="宋体" w:hAnsi="宋体"/>
          <w:sz w:val="24"/>
          <w:szCs w:val="24"/>
        </w:rPr>
        <w:t>投标人名称：</w:t>
      </w:r>
      <w:r>
        <w:rPr>
          <w:rFonts w:ascii="宋体" w:hAnsi="宋体"/>
          <w:sz w:val="24"/>
          <w:szCs w:val="24"/>
          <w:u w:val="single"/>
        </w:rPr>
        <w:t xml:space="preserve">                            </w:t>
      </w:r>
    </w:p>
    <w:p>
      <w:pPr>
        <w:spacing w:line="360" w:lineRule="auto"/>
        <w:rPr>
          <w:rFonts w:ascii="宋体" w:hAnsi="宋体"/>
          <w:b/>
          <w:bCs/>
          <w:sz w:val="24"/>
          <w:szCs w:val="24"/>
        </w:rPr>
      </w:pPr>
    </w:p>
    <w:p>
      <w:pPr>
        <w:spacing w:line="360" w:lineRule="auto"/>
        <w:jc w:val="center"/>
        <w:rPr>
          <w:rFonts w:ascii="宋体" w:hAnsi="宋体"/>
          <w:b/>
          <w:bCs/>
          <w:sz w:val="24"/>
          <w:szCs w:val="24"/>
        </w:rPr>
      </w:pPr>
      <w:r>
        <w:rPr>
          <w:rFonts w:ascii="宋体" w:hAnsi="宋体"/>
          <w:b/>
          <w:bCs/>
          <w:sz w:val="24"/>
          <w:szCs w:val="24"/>
        </w:rPr>
        <w:t>专职专业人员情况表</w:t>
      </w:r>
    </w:p>
    <w:tbl>
      <w:tblPr>
        <w:tblStyle w:val="24"/>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9"/>
        <w:gridCol w:w="1073"/>
        <w:gridCol w:w="2076"/>
        <w:gridCol w:w="2076"/>
        <w:gridCol w:w="2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rPr>
                <w:rFonts w:ascii="宋体" w:hAnsi="宋体"/>
                <w:b/>
                <w:bCs/>
                <w:sz w:val="24"/>
                <w:szCs w:val="24"/>
              </w:rPr>
            </w:pPr>
            <w:r>
              <w:rPr>
                <w:rFonts w:ascii="宋体" w:hAnsi="宋体"/>
                <w:b/>
                <w:bCs/>
                <w:sz w:val="24"/>
                <w:szCs w:val="24"/>
              </w:rPr>
              <w:t>序号</w:t>
            </w:r>
          </w:p>
        </w:tc>
        <w:tc>
          <w:tcPr>
            <w:tcW w:w="1073" w:type="dxa"/>
            <w:vAlign w:val="center"/>
          </w:tcPr>
          <w:p>
            <w:pPr>
              <w:adjustRightInd w:val="0"/>
              <w:snapToGrid w:val="0"/>
              <w:spacing w:line="360" w:lineRule="auto"/>
              <w:rPr>
                <w:rFonts w:ascii="宋体" w:hAnsi="宋体"/>
                <w:b/>
                <w:bCs/>
                <w:sz w:val="24"/>
                <w:szCs w:val="24"/>
              </w:rPr>
            </w:pPr>
            <w:r>
              <w:rPr>
                <w:rFonts w:ascii="宋体" w:hAnsi="宋体"/>
                <w:b/>
                <w:bCs/>
                <w:sz w:val="24"/>
                <w:szCs w:val="24"/>
              </w:rPr>
              <w:t>姓名</w:t>
            </w:r>
          </w:p>
        </w:tc>
        <w:tc>
          <w:tcPr>
            <w:tcW w:w="2076" w:type="dxa"/>
            <w:vAlign w:val="center"/>
          </w:tcPr>
          <w:p>
            <w:pPr>
              <w:adjustRightInd w:val="0"/>
              <w:snapToGrid w:val="0"/>
              <w:spacing w:line="360" w:lineRule="auto"/>
              <w:ind w:firstLine="562"/>
              <w:rPr>
                <w:rFonts w:ascii="宋体" w:hAnsi="宋体"/>
                <w:b/>
                <w:bCs/>
                <w:sz w:val="24"/>
                <w:szCs w:val="24"/>
              </w:rPr>
            </w:pPr>
            <w:r>
              <w:rPr>
                <w:rFonts w:ascii="宋体" w:hAnsi="宋体"/>
                <w:b/>
                <w:bCs/>
                <w:sz w:val="24"/>
                <w:szCs w:val="24"/>
              </w:rPr>
              <w:t>执业资格</w:t>
            </w:r>
          </w:p>
        </w:tc>
        <w:tc>
          <w:tcPr>
            <w:tcW w:w="2076" w:type="dxa"/>
            <w:vAlign w:val="center"/>
          </w:tcPr>
          <w:p>
            <w:pPr>
              <w:adjustRightInd w:val="0"/>
              <w:snapToGrid w:val="0"/>
              <w:spacing w:line="360" w:lineRule="auto"/>
              <w:ind w:firstLine="562"/>
              <w:rPr>
                <w:rFonts w:ascii="宋体" w:hAnsi="宋体"/>
                <w:b/>
                <w:bCs/>
                <w:sz w:val="24"/>
                <w:szCs w:val="24"/>
              </w:rPr>
            </w:pPr>
            <w:r>
              <w:rPr>
                <w:rFonts w:ascii="宋体" w:hAnsi="宋体"/>
                <w:b/>
                <w:bCs/>
                <w:sz w:val="24"/>
                <w:szCs w:val="24"/>
              </w:rPr>
              <w:t>证号</w:t>
            </w:r>
          </w:p>
        </w:tc>
        <w:tc>
          <w:tcPr>
            <w:tcW w:w="2159" w:type="dxa"/>
            <w:vAlign w:val="center"/>
          </w:tcPr>
          <w:p>
            <w:pPr>
              <w:adjustRightInd w:val="0"/>
              <w:snapToGrid w:val="0"/>
              <w:spacing w:line="360" w:lineRule="auto"/>
              <w:ind w:firstLine="562"/>
              <w:rPr>
                <w:rFonts w:ascii="宋体" w:hAnsi="宋体"/>
                <w:b/>
                <w:bCs/>
                <w:sz w:val="24"/>
                <w:szCs w:val="24"/>
              </w:rPr>
            </w:pPr>
            <w:r>
              <w:rPr>
                <w:rFonts w:ascii="宋体" w:hAnsi="宋体"/>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19" w:type="dxa"/>
            <w:vAlign w:val="center"/>
          </w:tcPr>
          <w:p>
            <w:pPr>
              <w:adjustRightInd w:val="0"/>
              <w:snapToGrid w:val="0"/>
              <w:spacing w:line="360" w:lineRule="auto"/>
              <w:ind w:firstLine="560"/>
              <w:jc w:val="center"/>
              <w:rPr>
                <w:rFonts w:ascii="宋体" w:hAnsi="宋体"/>
                <w:bCs/>
                <w:sz w:val="24"/>
                <w:szCs w:val="24"/>
              </w:rPr>
            </w:pPr>
          </w:p>
        </w:tc>
        <w:tc>
          <w:tcPr>
            <w:tcW w:w="1073"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076" w:type="dxa"/>
            <w:vAlign w:val="center"/>
          </w:tcPr>
          <w:p>
            <w:pPr>
              <w:adjustRightInd w:val="0"/>
              <w:snapToGrid w:val="0"/>
              <w:spacing w:line="360" w:lineRule="auto"/>
              <w:ind w:firstLine="560"/>
              <w:jc w:val="center"/>
              <w:rPr>
                <w:rFonts w:ascii="宋体" w:hAnsi="宋体"/>
                <w:bCs/>
                <w:sz w:val="24"/>
                <w:szCs w:val="24"/>
              </w:rPr>
            </w:pPr>
          </w:p>
        </w:tc>
        <w:tc>
          <w:tcPr>
            <w:tcW w:w="2159" w:type="dxa"/>
            <w:vAlign w:val="center"/>
          </w:tcPr>
          <w:p>
            <w:pPr>
              <w:adjustRightInd w:val="0"/>
              <w:snapToGrid w:val="0"/>
              <w:spacing w:line="360" w:lineRule="auto"/>
              <w:ind w:firstLine="560"/>
              <w:jc w:val="center"/>
              <w:rPr>
                <w:rFonts w:ascii="宋体" w:hAnsi="宋体"/>
                <w:bCs/>
                <w:sz w:val="24"/>
                <w:szCs w:val="24"/>
              </w:rPr>
            </w:pPr>
          </w:p>
        </w:tc>
      </w:tr>
    </w:tbl>
    <w:p>
      <w:pPr>
        <w:spacing w:line="360" w:lineRule="auto"/>
        <w:ind w:firstLine="540" w:firstLineChars="225"/>
        <w:rPr>
          <w:rFonts w:ascii="宋体" w:hAnsi="宋体"/>
          <w:sz w:val="24"/>
          <w:szCs w:val="24"/>
        </w:rPr>
      </w:pPr>
      <w:r>
        <w:rPr>
          <w:rFonts w:ascii="宋体" w:hAnsi="宋体"/>
          <w:sz w:val="24"/>
          <w:szCs w:val="24"/>
        </w:rPr>
        <w:t>投标人可根据上述表格格式自行扩展。</w:t>
      </w: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授权代表签字：</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公       章：</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rPr>
      </w:pPr>
      <w:r>
        <w:rPr>
          <w:rFonts w:ascii="宋体" w:hAnsi="宋体"/>
          <w:bCs/>
          <w:sz w:val="24"/>
          <w:szCs w:val="24"/>
        </w:rPr>
        <w:t>日       期：</w:t>
      </w:r>
      <w:r>
        <w:rPr>
          <w:rFonts w:ascii="宋体" w:hAnsi="宋体"/>
          <w:bCs/>
          <w:sz w:val="24"/>
          <w:szCs w:val="24"/>
          <w:u w:val="single"/>
        </w:rPr>
        <w:t xml:space="preserve">                       </w:t>
      </w:r>
    </w:p>
    <w:p>
      <w:pPr>
        <w:spacing w:line="360" w:lineRule="auto"/>
        <w:ind w:firstLine="540" w:firstLineChars="225"/>
        <w:rPr>
          <w:rFonts w:ascii="宋体" w:hAnsi="宋体"/>
          <w:sz w:val="24"/>
          <w:szCs w:val="24"/>
        </w:rPr>
      </w:pPr>
    </w:p>
    <w:p>
      <w:pPr>
        <w:spacing w:line="360" w:lineRule="auto"/>
        <w:rPr>
          <w:rFonts w:ascii="宋体" w:hAnsi="宋体"/>
          <w:b/>
          <w:bCs/>
          <w:sz w:val="24"/>
          <w:szCs w:val="24"/>
        </w:rPr>
      </w:pPr>
    </w:p>
    <w:p>
      <w:pPr>
        <w:adjustRightInd w:val="0"/>
        <w:snapToGrid w:val="0"/>
        <w:spacing w:line="360" w:lineRule="auto"/>
        <w:jc w:val="center"/>
        <w:outlineLvl w:val="1"/>
        <w:rPr>
          <w:rFonts w:ascii="宋体" w:hAnsi="宋体"/>
          <w:b/>
          <w:bCs/>
          <w:sz w:val="24"/>
          <w:szCs w:val="24"/>
        </w:rPr>
      </w:pPr>
      <w:r>
        <w:rPr>
          <w:rFonts w:ascii="宋体" w:hAnsi="宋体"/>
          <w:b/>
          <w:bCs/>
          <w:sz w:val="24"/>
          <w:szCs w:val="24"/>
        </w:rPr>
        <w:br w:type="page"/>
      </w:r>
      <w:bookmarkStart w:id="52" w:name="_Toc325046393"/>
    </w:p>
    <w:p>
      <w:pPr>
        <w:spacing w:line="360" w:lineRule="auto"/>
        <w:rPr>
          <w:rFonts w:ascii="宋体" w:hAnsi="宋体"/>
          <w:b/>
          <w:bCs/>
          <w:sz w:val="32"/>
          <w:szCs w:val="32"/>
        </w:rPr>
      </w:pPr>
      <w:r>
        <w:rPr>
          <w:rFonts w:ascii="宋体" w:hAnsi="宋体"/>
          <w:b/>
          <w:bCs/>
          <w:sz w:val="32"/>
          <w:szCs w:val="32"/>
        </w:rPr>
        <w:t>附件</w:t>
      </w:r>
      <w:r>
        <w:rPr>
          <w:rFonts w:hint="eastAsia" w:ascii="宋体" w:hAnsi="宋体"/>
          <w:b/>
          <w:bCs/>
          <w:sz w:val="32"/>
          <w:szCs w:val="32"/>
        </w:rPr>
        <w:t>六</w:t>
      </w:r>
      <w:r>
        <w:rPr>
          <w:rFonts w:ascii="宋体" w:hAnsi="宋体"/>
          <w:b/>
          <w:bCs/>
          <w:sz w:val="32"/>
          <w:szCs w:val="32"/>
        </w:rPr>
        <w:t>：</w:t>
      </w:r>
      <w:bookmarkEnd w:id="52"/>
      <w:r>
        <w:rPr>
          <w:rFonts w:hint="eastAsia" w:ascii="宋体" w:hAnsi="宋体"/>
          <w:b/>
          <w:bCs/>
          <w:sz w:val="32"/>
          <w:szCs w:val="32"/>
        </w:rPr>
        <w:t>商务偏离表</w:t>
      </w:r>
    </w:p>
    <w:p>
      <w:pPr>
        <w:rPr>
          <w:rFonts w:ascii="宋体" w:hAnsi="宋体" w:cs="宋体"/>
          <w:b/>
          <w:szCs w:val="21"/>
        </w:rPr>
      </w:pPr>
    </w:p>
    <w:p>
      <w:pPr>
        <w:spacing w:line="360" w:lineRule="auto"/>
        <w:rPr>
          <w:rFonts w:ascii="宋体" w:hAnsi="宋体"/>
          <w:sz w:val="24"/>
          <w:szCs w:val="24"/>
        </w:rPr>
      </w:pPr>
      <w:r>
        <w:rPr>
          <w:rFonts w:hint="eastAsia" w:ascii="宋体" w:hAnsi="宋体"/>
          <w:sz w:val="24"/>
          <w:szCs w:val="24"/>
        </w:rPr>
        <w:t>投标方名称：</w:t>
      </w:r>
      <w:r>
        <w:rPr>
          <w:rFonts w:ascii="宋体" w:hAnsi="宋体"/>
          <w:sz w:val="24"/>
          <w:szCs w:val="24"/>
          <w:u w:val="single"/>
        </w:rPr>
        <w:t xml:space="preserve">                            </w:t>
      </w:r>
      <w:r>
        <w:rPr>
          <w:rFonts w:hint="eastAsia" w:ascii="宋体" w:hAnsi="宋体"/>
          <w:sz w:val="24"/>
          <w:szCs w:val="24"/>
        </w:rPr>
        <w:t xml:space="preserve">                                            </w:t>
      </w:r>
    </w:p>
    <w:p>
      <w:pPr>
        <w:rPr>
          <w:rFonts w:ascii="宋体" w:hAnsi="宋体" w:cs="宋体"/>
          <w:szCs w:val="21"/>
        </w:rPr>
      </w:pPr>
    </w:p>
    <w:tbl>
      <w:tblPr>
        <w:tblStyle w:val="24"/>
        <w:tblW w:w="9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076"/>
        <w:gridCol w:w="2556"/>
        <w:gridCol w:w="2556"/>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cs="宋体"/>
                <w:szCs w:val="21"/>
              </w:rPr>
              <w:t>序号</w:t>
            </w: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cs="宋体"/>
                <w:szCs w:val="21"/>
              </w:rPr>
              <w:t>招标文件条目号</w:t>
            </w: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cs="宋体"/>
                <w:szCs w:val="21"/>
              </w:rPr>
              <w:t>招标文件的商务条款</w:t>
            </w: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cs="宋体"/>
                <w:szCs w:val="21"/>
              </w:rPr>
              <w:t>投标文件的商务条款</w:t>
            </w: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07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2556"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c>
          <w:tcPr>
            <w:tcW w:w="1584"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p>
        </w:tc>
      </w:tr>
    </w:tbl>
    <w:p>
      <w:pPr>
        <w:spacing w:line="360" w:lineRule="auto"/>
        <w:rPr>
          <w:rFonts w:ascii="仿宋_GB2312" w:eastAsia="仿宋_GB2312"/>
        </w:rPr>
      </w:pPr>
      <w:r>
        <w:rPr>
          <w:rFonts w:hint="eastAsia" w:ascii="仿宋_GB2312" w:hAnsi="宋体" w:eastAsia="仿宋_GB2312"/>
          <w:sz w:val="24"/>
        </w:rPr>
        <w:t>注：注：</w:t>
      </w:r>
      <w:r>
        <w:rPr>
          <w:rFonts w:hint="eastAsia" w:ascii="仿宋_GB2312" w:eastAsia="仿宋_GB2312"/>
          <w:sz w:val="24"/>
        </w:rPr>
        <w:t>投标人所报商务要求</w:t>
      </w:r>
      <w:r>
        <w:rPr>
          <w:rFonts w:ascii="仿宋_GB2312" w:eastAsia="仿宋_GB2312"/>
          <w:sz w:val="24"/>
        </w:rPr>
        <w:t>若</w:t>
      </w:r>
      <w:r>
        <w:rPr>
          <w:rFonts w:hint="eastAsia" w:ascii="仿宋_GB2312" w:eastAsia="仿宋_GB2312"/>
          <w:sz w:val="24"/>
        </w:rPr>
        <w:t>有偏离，应在</w:t>
      </w:r>
      <w:r>
        <w:rPr>
          <w:rFonts w:ascii="仿宋_GB2312" w:eastAsia="仿宋_GB2312"/>
          <w:sz w:val="24"/>
        </w:rPr>
        <w:t>《</w:t>
      </w:r>
      <w:r>
        <w:rPr>
          <w:rFonts w:hint="eastAsia" w:ascii="仿宋_GB2312" w:eastAsia="仿宋_GB2312"/>
          <w:sz w:val="24"/>
        </w:rPr>
        <w:t>商务</w:t>
      </w:r>
      <w:r>
        <w:rPr>
          <w:rFonts w:ascii="仿宋_GB2312" w:eastAsia="仿宋_GB2312"/>
          <w:sz w:val="24"/>
        </w:rPr>
        <w:t>偏离表》</w:t>
      </w:r>
      <w:r>
        <w:rPr>
          <w:rFonts w:hint="eastAsia" w:ascii="仿宋_GB2312" w:eastAsia="仿宋_GB2312"/>
          <w:sz w:val="24"/>
        </w:rPr>
        <w:t>“备注”一栏</w:t>
      </w:r>
      <w:r>
        <w:rPr>
          <w:rFonts w:ascii="仿宋_GB2312" w:eastAsia="仿宋_GB2312"/>
          <w:sz w:val="24"/>
        </w:rPr>
        <w:t>注明</w:t>
      </w:r>
      <w:r>
        <w:rPr>
          <w:rFonts w:hint="eastAsia" w:ascii="仿宋_GB2312" w:eastAsia="仿宋_GB2312"/>
          <w:sz w:val="24"/>
        </w:rPr>
        <w:t>“正（负）</w:t>
      </w:r>
      <w:r>
        <w:rPr>
          <w:rFonts w:ascii="仿宋_GB2312" w:eastAsia="仿宋_GB2312"/>
          <w:sz w:val="24"/>
        </w:rPr>
        <w:t>偏离</w:t>
      </w:r>
      <w:r>
        <w:rPr>
          <w:rFonts w:hint="eastAsia" w:ascii="仿宋_GB2312" w:eastAsia="仿宋_GB2312"/>
          <w:sz w:val="24"/>
        </w:rPr>
        <w:t>”</w:t>
      </w:r>
      <w:r>
        <w:rPr>
          <w:rFonts w:ascii="仿宋_GB2312" w:eastAsia="仿宋_GB2312"/>
          <w:sz w:val="24"/>
        </w:rPr>
        <w:t>字样。若</w:t>
      </w:r>
      <w:r>
        <w:rPr>
          <w:rFonts w:hint="eastAsia" w:ascii="仿宋_GB2312" w:eastAsia="仿宋_GB2312"/>
          <w:sz w:val="24"/>
        </w:rPr>
        <w:t>无偏离，应在</w:t>
      </w:r>
      <w:r>
        <w:rPr>
          <w:rFonts w:ascii="仿宋_GB2312" w:eastAsia="仿宋_GB2312"/>
          <w:sz w:val="24"/>
        </w:rPr>
        <w:t>《</w:t>
      </w:r>
      <w:r>
        <w:rPr>
          <w:rFonts w:hint="eastAsia" w:ascii="仿宋_GB2312" w:eastAsia="仿宋_GB2312"/>
          <w:sz w:val="24"/>
        </w:rPr>
        <w:t>商务</w:t>
      </w:r>
      <w:r>
        <w:rPr>
          <w:rFonts w:ascii="仿宋_GB2312" w:eastAsia="仿宋_GB2312"/>
          <w:sz w:val="24"/>
        </w:rPr>
        <w:t>偏离表》</w:t>
      </w:r>
      <w:r>
        <w:rPr>
          <w:rFonts w:hint="eastAsia" w:ascii="仿宋_GB2312" w:eastAsia="仿宋_GB2312"/>
          <w:sz w:val="24"/>
        </w:rPr>
        <w:t>“备注”一栏</w:t>
      </w:r>
      <w:r>
        <w:rPr>
          <w:rFonts w:ascii="仿宋_GB2312" w:eastAsia="仿宋_GB2312"/>
          <w:sz w:val="24"/>
        </w:rPr>
        <w:t>注明</w:t>
      </w:r>
      <w:r>
        <w:rPr>
          <w:rFonts w:hint="eastAsia" w:ascii="仿宋_GB2312" w:eastAsia="仿宋_GB2312"/>
          <w:sz w:val="24"/>
        </w:rPr>
        <w:t>“无</w:t>
      </w:r>
      <w:r>
        <w:rPr>
          <w:rFonts w:ascii="仿宋_GB2312" w:eastAsia="仿宋_GB2312"/>
          <w:sz w:val="24"/>
        </w:rPr>
        <w:t>偏离</w:t>
      </w:r>
      <w:r>
        <w:rPr>
          <w:rFonts w:hint="eastAsia" w:ascii="仿宋_GB2312" w:eastAsia="仿宋_GB2312"/>
          <w:sz w:val="24"/>
        </w:rPr>
        <w:t>”</w:t>
      </w:r>
      <w:r>
        <w:rPr>
          <w:rFonts w:ascii="仿宋_GB2312" w:eastAsia="仿宋_GB2312"/>
          <w:sz w:val="24"/>
        </w:rPr>
        <w:t>字样。若</w:t>
      </w:r>
      <w:r>
        <w:rPr>
          <w:rFonts w:hint="eastAsia" w:ascii="仿宋_GB2312" w:eastAsia="仿宋_GB2312"/>
          <w:sz w:val="24"/>
        </w:rPr>
        <w:t>没有按照以上要求填写，</w:t>
      </w:r>
      <w:r>
        <w:rPr>
          <w:rFonts w:ascii="仿宋_GB2312" w:eastAsia="仿宋_GB2312"/>
          <w:sz w:val="24"/>
        </w:rPr>
        <w:t>即视为</w:t>
      </w:r>
      <w:r>
        <w:rPr>
          <w:rFonts w:hint="eastAsia" w:ascii="仿宋_GB2312" w:eastAsia="仿宋_GB2312"/>
          <w:sz w:val="24"/>
        </w:rPr>
        <w:t>投标人声明其商务指标不符合本招标文件商务要求，评标委员会</w:t>
      </w:r>
      <w:r>
        <w:rPr>
          <w:rFonts w:ascii="仿宋_GB2312" w:eastAsia="仿宋_GB2312"/>
          <w:sz w:val="24"/>
        </w:rPr>
        <w:t>有权据此作出废标的决定。</w:t>
      </w:r>
    </w:p>
    <w:p>
      <w:pPr>
        <w:spacing w:line="360" w:lineRule="auto"/>
        <w:rPr>
          <w:rFonts w:ascii="仿宋_GB2312" w:eastAsia="仿宋_GB2312"/>
        </w:rPr>
      </w:pPr>
    </w:p>
    <w:p>
      <w:pPr>
        <w:spacing w:line="360" w:lineRule="auto"/>
        <w:ind w:firstLine="540" w:firstLineChars="225"/>
        <w:rPr>
          <w:rFonts w:ascii="宋体" w:hAnsi="宋体"/>
          <w:sz w:val="24"/>
          <w:szCs w:val="24"/>
        </w:rPr>
      </w:pP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授权代表签字：</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公       章：</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rPr>
      </w:pPr>
      <w:r>
        <w:rPr>
          <w:rFonts w:ascii="宋体" w:hAnsi="宋体"/>
          <w:bCs/>
          <w:sz w:val="24"/>
          <w:szCs w:val="24"/>
        </w:rPr>
        <w:t>日       期：</w:t>
      </w:r>
      <w:r>
        <w:rPr>
          <w:rFonts w:ascii="宋体" w:hAnsi="宋体"/>
          <w:bCs/>
          <w:sz w:val="24"/>
          <w:szCs w:val="24"/>
          <w:u w:val="single"/>
        </w:rPr>
        <w:t xml:space="preserve">                       </w:t>
      </w:r>
    </w:p>
    <w:p>
      <w:pPr>
        <w:rPr>
          <w:rFonts w:ascii="宋体" w:hAnsi="宋体" w:cs="宋体"/>
          <w:szCs w:val="21"/>
        </w:rPr>
      </w:pPr>
    </w:p>
    <w:p>
      <w:pPr>
        <w:rPr>
          <w:rFonts w:ascii="宋体" w:hAnsi="宋体" w:cs="宋体"/>
          <w:szCs w:val="21"/>
        </w:rPr>
      </w:pPr>
    </w:p>
    <w:p>
      <w:pPr>
        <w:rPr>
          <w:rFonts w:ascii="宋体" w:hAnsi="宋体" w:cs="宋体"/>
          <w:szCs w:val="21"/>
        </w:rPr>
      </w:pPr>
    </w:p>
    <w:p>
      <w:pPr>
        <w:rPr>
          <w:rFonts w:ascii="宋体" w:hAnsi="宋体" w:cs="宋体"/>
          <w:szCs w:val="21"/>
        </w:rPr>
      </w:pPr>
    </w:p>
    <w:p>
      <w:pPr>
        <w:spacing w:line="360" w:lineRule="auto"/>
        <w:rPr>
          <w:rFonts w:ascii="宋体" w:hAnsi="宋体"/>
          <w:b/>
          <w:bCs/>
          <w:sz w:val="32"/>
          <w:szCs w:val="32"/>
        </w:rPr>
      </w:pPr>
    </w:p>
    <w:p>
      <w:pPr>
        <w:spacing w:line="360" w:lineRule="auto"/>
        <w:rPr>
          <w:rFonts w:ascii="宋体" w:hAnsi="宋体"/>
          <w:b/>
          <w:bCs/>
          <w:sz w:val="32"/>
          <w:szCs w:val="32"/>
        </w:rPr>
      </w:pPr>
      <w:r>
        <w:rPr>
          <w:rFonts w:hint="eastAsia" w:ascii="宋体" w:hAnsi="宋体"/>
          <w:b/>
          <w:bCs/>
          <w:sz w:val="32"/>
          <w:szCs w:val="32"/>
        </w:rPr>
        <w:t>附件七：技术偏离表</w:t>
      </w:r>
    </w:p>
    <w:p>
      <w:pPr>
        <w:spacing w:line="360" w:lineRule="auto"/>
        <w:rPr>
          <w:rFonts w:ascii="宋体" w:hAnsi="宋体"/>
          <w:b/>
          <w:bCs/>
          <w:sz w:val="32"/>
          <w:szCs w:val="32"/>
        </w:rPr>
      </w:pPr>
      <w:r>
        <w:rPr>
          <w:rFonts w:hint="eastAsia" w:ascii="宋体" w:hAnsi="宋体"/>
          <w:sz w:val="24"/>
          <w:szCs w:val="24"/>
        </w:rPr>
        <w:t>投标方名称：</w:t>
      </w:r>
      <w:r>
        <w:rPr>
          <w:rFonts w:ascii="宋体" w:hAnsi="宋体"/>
          <w:sz w:val="24"/>
          <w:szCs w:val="24"/>
          <w:u w:val="single"/>
        </w:rPr>
        <w:t xml:space="preserve">                            </w:t>
      </w:r>
    </w:p>
    <w:tbl>
      <w:tblPr>
        <w:tblStyle w:val="24"/>
        <w:tblW w:w="9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028"/>
        <w:gridCol w:w="2378"/>
        <w:gridCol w:w="2411"/>
        <w:gridCol w:w="1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1" w:hRule="atLeast"/>
        </w:trPr>
        <w:tc>
          <w:tcPr>
            <w:tcW w:w="950" w:type="dxa"/>
            <w:vAlign w:val="center"/>
          </w:tcPr>
          <w:p>
            <w:pPr>
              <w:spacing w:line="360" w:lineRule="auto"/>
              <w:jc w:val="center"/>
              <w:rPr>
                <w:rFonts w:ascii="仿宋_GB2312" w:eastAsia="仿宋_GB2312"/>
                <w:sz w:val="24"/>
              </w:rPr>
            </w:pPr>
            <w:r>
              <w:rPr>
                <w:rFonts w:hint="eastAsia" w:ascii="仿宋_GB2312" w:eastAsia="仿宋_GB2312"/>
                <w:sz w:val="24"/>
              </w:rPr>
              <w:t>序号</w:t>
            </w:r>
          </w:p>
        </w:tc>
        <w:tc>
          <w:tcPr>
            <w:tcW w:w="2028" w:type="dxa"/>
            <w:vAlign w:val="center"/>
          </w:tcPr>
          <w:p>
            <w:pPr>
              <w:spacing w:line="360" w:lineRule="auto"/>
              <w:jc w:val="center"/>
              <w:rPr>
                <w:rFonts w:ascii="仿宋_GB2312" w:eastAsia="仿宋_GB2312"/>
                <w:sz w:val="24"/>
              </w:rPr>
            </w:pPr>
            <w:r>
              <w:rPr>
                <w:rFonts w:hint="eastAsia" w:ascii="仿宋_GB2312" w:eastAsia="仿宋_GB2312"/>
                <w:sz w:val="24"/>
              </w:rPr>
              <w:t>项目名称</w:t>
            </w:r>
          </w:p>
        </w:tc>
        <w:tc>
          <w:tcPr>
            <w:tcW w:w="2378" w:type="dxa"/>
            <w:vAlign w:val="center"/>
          </w:tcPr>
          <w:p>
            <w:pPr>
              <w:spacing w:line="360" w:lineRule="auto"/>
              <w:jc w:val="center"/>
              <w:rPr>
                <w:rFonts w:ascii="仿宋_GB2312" w:eastAsia="仿宋_GB2312"/>
                <w:sz w:val="24"/>
              </w:rPr>
            </w:pPr>
            <w:r>
              <w:rPr>
                <w:rFonts w:hint="eastAsia" w:ascii="仿宋_GB2312" w:eastAsia="仿宋_GB2312"/>
                <w:sz w:val="24"/>
              </w:rPr>
              <w:t>招标文件要求的条款</w:t>
            </w:r>
          </w:p>
        </w:tc>
        <w:tc>
          <w:tcPr>
            <w:tcW w:w="2411" w:type="dxa"/>
            <w:vAlign w:val="center"/>
          </w:tcPr>
          <w:p>
            <w:pPr>
              <w:spacing w:line="360" w:lineRule="auto"/>
              <w:jc w:val="center"/>
              <w:rPr>
                <w:rFonts w:ascii="仿宋_GB2312" w:eastAsia="仿宋_GB2312"/>
                <w:sz w:val="24"/>
              </w:rPr>
            </w:pPr>
            <w:r>
              <w:rPr>
                <w:rFonts w:hint="eastAsia" w:ascii="仿宋_GB2312" w:eastAsia="仿宋_GB2312"/>
                <w:sz w:val="24"/>
              </w:rPr>
              <w:t>投标文件对</w:t>
            </w:r>
          </w:p>
          <w:p>
            <w:pPr>
              <w:spacing w:line="360" w:lineRule="auto"/>
              <w:jc w:val="center"/>
              <w:rPr>
                <w:rFonts w:ascii="仿宋_GB2312" w:eastAsia="仿宋_GB2312"/>
                <w:sz w:val="24"/>
              </w:rPr>
            </w:pPr>
            <w:r>
              <w:rPr>
                <w:rFonts w:hint="eastAsia" w:ascii="仿宋_GB2312" w:eastAsia="仿宋_GB2312"/>
                <w:sz w:val="24"/>
              </w:rPr>
              <w:t>应条款</w:t>
            </w:r>
          </w:p>
        </w:tc>
        <w:tc>
          <w:tcPr>
            <w:tcW w:w="1360" w:type="dxa"/>
            <w:vAlign w:val="center"/>
          </w:tcPr>
          <w:p>
            <w:pPr>
              <w:spacing w:line="360" w:lineRule="auto"/>
              <w:jc w:val="center"/>
              <w:rPr>
                <w:rFonts w:ascii="仿宋_GB2312" w:eastAsia="仿宋_GB2312"/>
                <w:sz w:val="24"/>
              </w:rPr>
            </w:pPr>
            <w:r>
              <w:rPr>
                <w:rFonts w:hint="eastAsia" w:ascii="仿宋_GB2312" w:eastAsia="仿宋_GB2312"/>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950" w:type="dxa"/>
            <w:vAlign w:val="center"/>
          </w:tcPr>
          <w:p>
            <w:pPr>
              <w:spacing w:line="360" w:lineRule="auto"/>
              <w:jc w:val="center"/>
              <w:rPr>
                <w:rFonts w:ascii="仿宋_GB2312" w:eastAsia="仿宋_GB2312"/>
                <w:sz w:val="24"/>
              </w:rPr>
            </w:pPr>
          </w:p>
        </w:tc>
        <w:tc>
          <w:tcPr>
            <w:tcW w:w="2028" w:type="dxa"/>
            <w:vAlign w:val="center"/>
          </w:tcPr>
          <w:p>
            <w:pPr>
              <w:spacing w:line="360" w:lineRule="auto"/>
              <w:jc w:val="center"/>
              <w:rPr>
                <w:rFonts w:ascii="仿宋_GB2312" w:eastAsia="仿宋_GB2312"/>
                <w:sz w:val="24"/>
              </w:rPr>
            </w:pPr>
          </w:p>
        </w:tc>
        <w:tc>
          <w:tcPr>
            <w:tcW w:w="2378" w:type="dxa"/>
            <w:vAlign w:val="center"/>
          </w:tcPr>
          <w:p>
            <w:pPr>
              <w:spacing w:line="360" w:lineRule="auto"/>
              <w:jc w:val="center"/>
              <w:rPr>
                <w:rFonts w:ascii="仿宋_GB2312" w:eastAsia="仿宋_GB2312"/>
                <w:sz w:val="24"/>
              </w:rPr>
            </w:pPr>
          </w:p>
        </w:tc>
        <w:tc>
          <w:tcPr>
            <w:tcW w:w="2411" w:type="dxa"/>
            <w:vAlign w:val="center"/>
          </w:tcPr>
          <w:p>
            <w:pPr>
              <w:spacing w:line="360" w:lineRule="auto"/>
              <w:jc w:val="center"/>
              <w:rPr>
                <w:rFonts w:ascii="仿宋_GB2312" w:eastAsia="仿宋_GB2312"/>
                <w:sz w:val="24"/>
              </w:rPr>
            </w:pPr>
          </w:p>
        </w:tc>
        <w:tc>
          <w:tcPr>
            <w:tcW w:w="1360" w:type="dxa"/>
            <w:vAlign w:val="center"/>
          </w:tcPr>
          <w:p>
            <w:pPr>
              <w:spacing w:line="360" w:lineRule="auto"/>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950" w:type="dxa"/>
            <w:vAlign w:val="center"/>
          </w:tcPr>
          <w:p>
            <w:pPr>
              <w:spacing w:line="360" w:lineRule="auto"/>
              <w:jc w:val="center"/>
              <w:rPr>
                <w:rFonts w:ascii="仿宋_GB2312" w:eastAsia="仿宋_GB2312"/>
                <w:sz w:val="24"/>
              </w:rPr>
            </w:pPr>
          </w:p>
        </w:tc>
        <w:tc>
          <w:tcPr>
            <w:tcW w:w="2028" w:type="dxa"/>
            <w:vAlign w:val="center"/>
          </w:tcPr>
          <w:p>
            <w:pPr>
              <w:spacing w:line="360" w:lineRule="auto"/>
              <w:jc w:val="center"/>
              <w:rPr>
                <w:rFonts w:ascii="仿宋_GB2312" w:eastAsia="仿宋_GB2312"/>
                <w:sz w:val="24"/>
              </w:rPr>
            </w:pPr>
          </w:p>
        </w:tc>
        <w:tc>
          <w:tcPr>
            <w:tcW w:w="2378" w:type="dxa"/>
            <w:vAlign w:val="center"/>
          </w:tcPr>
          <w:p>
            <w:pPr>
              <w:spacing w:line="360" w:lineRule="auto"/>
              <w:jc w:val="center"/>
              <w:rPr>
                <w:rFonts w:ascii="仿宋_GB2312" w:eastAsia="仿宋_GB2312"/>
                <w:sz w:val="24"/>
              </w:rPr>
            </w:pPr>
          </w:p>
        </w:tc>
        <w:tc>
          <w:tcPr>
            <w:tcW w:w="2411" w:type="dxa"/>
            <w:vAlign w:val="center"/>
          </w:tcPr>
          <w:p>
            <w:pPr>
              <w:spacing w:line="360" w:lineRule="auto"/>
              <w:jc w:val="center"/>
              <w:rPr>
                <w:rFonts w:ascii="仿宋_GB2312" w:eastAsia="仿宋_GB2312"/>
                <w:sz w:val="24"/>
              </w:rPr>
            </w:pPr>
          </w:p>
        </w:tc>
        <w:tc>
          <w:tcPr>
            <w:tcW w:w="1360" w:type="dxa"/>
            <w:vAlign w:val="center"/>
          </w:tcPr>
          <w:p>
            <w:pPr>
              <w:spacing w:line="360" w:lineRule="auto"/>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950" w:type="dxa"/>
            <w:vAlign w:val="center"/>
          </w:tcPr>
          <w:p>
            <w:pPr>
              <w:spacing w:line="360" w:lineRule="auto"/>
              <w:jc w:val="center"/>
              <w:rPr>
                <w:rFonts w:ascii="仿宋_GB2312" w:eastAsia="仿宋_GB2312"/>
                <w:sz w:val="24"/>
              </w:rPr>
            </w:pPr>
          </w:p>
        </w:tc>
        <w:tc>
          <w:tcPr>
            <w:tcW w:w="2028" w:type="dxa"/>
            <w:vAlign w:val="center"/>
          </w:tcPr>
          <w:p>
            <w:pPr>
              <w:spacing w:line="360" w:lineRule="auto"/>
              <w:jc w:val="center"/>
              <w:rPr>
                <w:rFonts w:ascii="仿宋_GB2312" w:eastAsia="仿宋_GB2312"/>
                <w:sz w:val="24"/>
              </w:rPr>
            </w:pPr>
          </w:p>
        </w:tc>
        <w:tc>
          <w:tcPr>
            <w:tcW w:w="2378" w:type="dxa"/>
            <w:vAlign w:val="center"/>
          </w:tcPr>
          <w:p>
            <w:pPr>
              <w:spacing w:line="360" w:lineRule="auto"/>
              <w:jc w:val="center"/>
              <w:rPr>
                <w:rFonts w:ascii="仿宋_GB2312" w:eastAsia="仿宋_GB2312"/>
                <w:sz w:val="24"/>
              </w:rPr>
            </w:pPr>
          </w:p>
        </w:tc>
        <w:tc>
          <w:tcPr>
            <w:tcW w:w="2411" w:type="dxa"/>
            <w:vAlign w:val="center"/>
          </w:tcPr>
          <w:p>
            <w:pPr>
              <w:spacing w:line="360" w:lineRule="auto"/>
              <w:jc w:val="center"/>
              <w:rPr>
                <w:rFonts w:ascii="仿宋_GB2312" w:eastAsia="仿宋_GB2312"/>
                <w:sz w:val="24"/>
              </w:rPr>
            </w:pPr>
          </w:p>
        </w:tc>
        <w:tc>
          <w:tcPr>
            <w:tcW w:w="1360" w:type="dxa"/>
            <w:vAlign w:val="center"/>
          </w:tcPr>
          <w:p>
            <w:pPr>
              <w:spacing w:line="360" w:lineRule="auto"/>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950" w:type="dxa"/>
            <w:vAlign w:val="center"/>
          </w:tcPr>
          <w:p>
            <w:pPr>
              <w:spacing w:line="360" w:lineRule="auto"/>
              <w:jc w:val="center"/>
              <w:rPr>
                <w:rFonts w:ascii="仿宋_GB2312" w:eastAsia="仿宋_GB2312"/>
                <w:sz w:val="24"/>
              </w:rPr>
            </w:pPr>
          </w:p>
        </w:tc>
        <w:tc>
          <w:tcPr>
            <w:tcW w:w="2028" w:type="dxa"/>
            <w:vAlign w:val="center"/>
          </w:tcPr>
          <w:p>
            <w:pPr>
              <w:spacing w:line="360" w:lineRule="auto"/>
              <w:jc w:val="center"/>
              <w:rPr>
                <w:rFonts w:ascii="仿宋_GB2312" w:eastAsia="仿宋_GB2312"/>
                <w:sz w:val="24"/>
              </w:rPr>
            </w:pPr>
          </w:p>
        </w:tc>
        <w:tc>
          <w:tcPr>
            <w:tcW w:w="2378" w:type="dxa"/>
            <w:vAlign w:val="center"/>
          </w:tcPr>
          <w:p>
            <w:pPr>
              <w:spacing w:line="360" w:lineRule="auto"/>
              <w:jc w:val="center"/>
              <w:rPr>
                <w:rFonts w:ascii="仿宋_GB2312" w:eastAsia="仿宋_GB2312"/>
                <w:sz w:val="24"/>
              </w:rPr>
            </w:pPr>
          </w:p>
        </w:tc>
        <w:tc>
          <w:tcPr>
            <w:tcW w:w="2411" w:type="dxa"/>
            <w:vAlign w:val="center"/>
          </w:tcPr>
          <w:p>
            <w:pPr>
              <w:spacing w:line="360" w:lineRule="auto"/>
              <w:jc w:val="center"/>
              <w:rPr>
                <w:rFonts w:ascii="仿宋_GB2312" w:eastAsia="仿宋_GB2312"/>
                <w:sz w:val="24"/>
              </w:rPr>
            </w:pPr>
          </w:p>
        </w:tc>
        <w:tc>
          <w:tcPr>
            <w:tcW w:w="1360" w:type="dxa"/>
            <w:vAlign w:val="center"/>
          </w:tcPr>
          <w:p>
            <w:pPr>
              <w:spacing w:line="360" w:lineRule="auto"/>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950" w:type="dxa"/>
            <w:vAlign w:val="center"/>
          </w:tcPr>
          <w:p>
            <w:pPr>
              <w:spacing w:line="360" w:lineRule="auto"/>
              <w:jc w:val="center"/>
              <w:rPr>
                <w:rFonts w:ascii="仿宋_GB2312" w:eastAsia="仿宋_GB2312"/>
                <w:sz w:val="24"/>
              </w:rPr>
            </w:pPr>
          </w:p>
        </w:tc>
        <w:tc>
          <w:tcPr>
            <w:tcW w:w="2028" w:type="dxa"/>
            <w:vAlign w:val="center"/>
          </w:tcPr>
          <w:p>
            <w:pPr>
              <w:spacing w:line="360" w:lineRule="auto"/>
              <w:jc w:val="center"/>
              <w:rPr>
                <w:rFonts w:ascii="仿宋_GB2312" w:eastAsia="仿宋_GB2312"/>
                <w:sz w:val="24"/>
              </w:rPr>
            </w:pPr>
          </w:p>
        </w:tc>
        <w:tc>
          <w:tcPr>
            <w:tcW w:w="2378" w:type="dxa"/>
            <w:vAlign w:val="center"/>
          </w:tcPr>
          <w:p>
            <w:pPr>
              <w:spacing w:line="360" w:lineRule="auto"/>
              <w:jc w:val="center"/>
              <w:rPr>
                <w:rFonts w:ascii="仿宋_GB2312" w:eastAsia="仿宋_GB2312"/>
                <w:sz w:val="24"/>
              </w:rPr>
            </w:pPr>
          </w:p>
        </w:tc>
        <w:tc>
          <w:tcPr>
            <w:tcW w:w="2411" w:type="dxa"/>
            <w:vAlign w:val="center"/>
          </w:tcPr>
          <w:p>
            <w:pPr>
              <w:spacing w:line="360" w:lineRule="auto"/>
              <w:jc w:val="center"/>
              <w:rPr>
                <w:rFonts w:ascii="仿宋_GB2312" w:eastAsia="仿宋_GB2312"/>
                <w:sz w:val="24"/>
              </w:rPr>
            </w:pPr>
          </w:p>
        </w:tc>
        <w:tc>
          <w:tcPr>
            <w:tcW w:w="1360" w:type="dxa"/>
            <w:vAlign w:val="center"/>
          </w:tcPr>
          <w:p>
            <w:pPr>
              <w:spacing w:line="360" w:lineRule="auto"/>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950" w:type="dxa"/>
            <w:vAlign w:val="center"/>
          </w:tcPr>
          <w:p>
            <w:pPr>
              <w:spacing w:line="360" w:lineRule="auto"/>
              <w:jc w:val="center"/>
              <w:rPr>
                <w:rFonts w:ascii="仿宋_GB2312" w:eastAsia="仿宋_GB2312"/>
                <w:sz w:val="24"/>
              </w:rPr>
            </w:pPr>
          </w:p>
          <w:p>
            <w:pPr>
              <w:spacing w:line="360" w:lineRule="auto"/>
              <w:jc w:val="center"/>
              <w:rPr>
                <w:rFonts w:ascii="仿宋_GB2312" w:eastAsia="仿宋_GB2312"/>
                <w:sz w:val="24"/>
              </w:rPr>
            </w:pPr>
          </w:p>
        </w:tc>
        <w:tc>
          <w:tcPr>
            <w:tcW w:w="2028" w:type="dxa"/>
            <w:vAlign w:val="center"/>
          </w:tcPr>
          <w:p>
            <w:pPr>
              <w:spacing w:line="360" w:lineRule="auto"/>
              <w:jc w:val="center"/>
              <w:rPr>
                <w:rFonts w:ascii="仿宋_GB2312" w:eastAsia="仿宋_GB2312"/>
                <w:sz w:val="24"/>
              </w:rPr>
            </w:pPr>
          </w:p>
        </w:tc>
        <w:tc>
          <w:tcPr>
            <w:tcW w:w="2378" w:type="dxa"/>
            <w:vAlign w:val="center"/>
          </w:tcPr>
          <w:p>
            <w:pPr>
              <w:spacing w:line="360" w:lineRule="auto"/>
              <w:jc w:val="center"/>
              <w:rPr>
                <w:rFonts w:ascii="仿宋_GB2312" w:eastAsia="仿宋_GB2312"/>
                <w:sz w:val="24"/>
              </w:rPr>
            </w:pPr>
          </w:p>
        </w:tc>
        <w:tc>
          <w:tcPr>
            <w:tcW w:w="2411" w:type="dxa"/>
            <w:vAlign w:val="center"/>
          </w:tcPr>
          <w:p>
            <w:pPr>
              <w:spacing w:line="360" w:lineRule="auto"/>
              <w:jc w:val="center"/>
              <w:rPr>
                <w:rFonts w:ascii="仿宋_GB2312" w:eastAsia="仿宋_GB2312"/>
                <w:sz w:val="24"/>
              </w:rPr>
            </w:pPr>
          </w:p>
        </w:tc>
        <w:tc>
          <w:tcPr>
            <w:tcW w:w="1360" w:type="dxa"/>
            <w:vAlign w:val="center"/>
          </w:tcPr>
          <w:p>
            <w:pPr>
              <w:spacing w:line="360" w:lineRule="auto"/>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950" w:type="dxa"/>
            <w:vAlign w:val="center"/>
          </w:tcPr>
          <w:p>
            <w:pPr>
              <w:spacing w:line="360" w:lineRule="auto"/>
              <w:jc w:val="center"/>
              <w:rPr>
                <w:rFonts w:ascii="仿宋_GB2312" w:eastAsia="仿宋_GB2312"/>
                <w:sz w:val="24"/>
              </w:rPr>
            </w:pPr>
          </w:p>
        </w:tc>
        <w:tc>
          <w:tcPr>
            <w:tcW w:w="2028" w:type="dxa"/>
            <w:vAlign w:val="center"/>
          </w:tcPr>
          <w:p>
            <w:pPr>
              <w:spacing w:line="360" w:lineRule="auto"/>
              <w:jc w:val="center"/>
              <w:rPr>
                <w:rFonts w:ascii="仿宋_GB2312" w:eastAsia="仿宋_GB2312"/>
                <w:sz w:val="24"/>
              </w:rPr>
            </w:pPr>
          </w:p>
        </w:tc>
        <w:tc>
          <w:tcPr>
            <w:tcW w:w="2378" w:type="dxa"/>
            <w:vAlign w:val="center"/>
          </w:tcPr>
          <w:p>
            <w:pPr>
              <w:spacing w:line="360" w:lineRule="auto"/>
              <w:jc w:val="center"/>
              <w:rPr>
                <w:rFonts w:ascii="仿宋_GB2312" w:eastAsia="仿宋_GB2312"/>
                <w:sz w:val="24"/>
              </w:rPr>
            </w:pPr>
          </w:p>
        </w:tc>
        <w:tc>
          <w:tcPr>
            <w:tcW w:w="2411" w:type="dxa"/>
            <w:vAlign w:val="center"/>
          </w:tcPr>
          <w:p>
            <w:pPr>
              <w:spacing w:line="360" w:lineRule="auto"/>
              <w:jc w:val="center"/>
              <w:rPr>
                <w:rFonts w:ascii="仿宋_GB2312" w:eastAsia="仿宋_GB2312"/>
                <w:sz w:val="24"/>
              </w:rPr>
            </w:pPr>
          </w:p>
        </w:tc>
        <w:tc>
          <w:tcPr>
            <w:tcW w:w="1360" w:type="dxa"/>
            <w:vAlign w:val="center"/>
          </w:tcPr>
          <w:p>
            <w:pPr>
              <w:spacing w:line="360" w:lineRule="auto"/>
              <w:jc w:val="center"/>
              <w:rPr>
                <w:rFonts w:ascii="仿宋_GB2312" w:eastAsia="仿宋_GB2312"/>
                <w:sz w:val="24"/>
              </w:rPr>
            </w:pPr>
          </w:p>
        </w:tc>
      </w:tr>
    </w:tbl>
    <w:p>
      <w:pPr>
        <w:spacing w:line="360" w:lineRule="auto"/>
        <w:rPr>
          <w:rFonts w:ascii="仿宋_GB2312" w:eastAsia="仿宋_GB2312"/>
        </w:rPr>
      </w:pPr>
      <w:r>
        <w:rPr>
          <w:rFonts w:hint="eastAsia" w:ascii="仿宋_GB2312" w:hAnsi="宋体" w:eastAsia="仿宋_GB2312"/>
          <w:sz w:val="24"/>
        </w:rPr>
        <w:t>注：</w:t>
      </w:r>
      <w:r>
        <w:rPr>
          <w:rFonts w:hint="eastAsia" w:ascii="仿宋_GB2312" w:eastAsia="仿宋_GB2312"/>
          <w:sz w:val="24"/>
        </w:rPr>
        <w:t>投标人</w:t>
      </w:r>
      <w:r>
        <w:rPr>
          <w:rFonts w:ascii="仿宋_GB2312" w:eastAsia="仿宋_GB2312"/>
          <w:sz w:val="24"/>
        </w:rPr>
        <w:t>所</w:t>
      </w:r>
      <w:r>
        <w:rPr>
          <w:rFonts w:hint="eastAsia" w:ascii="仿宋_GB2312" w:eastAsia="仿宋_GB2312"/>
          <w:sz w:val="24"/>
        </w:rPr>
        <w:t>报</w:t>
      </w:r>
      <w:r>
        <w:rPr>
          <w:rFonts w:ascii="仿宋_GB2312" w:eastAsia="仿宋_GB2312"/>
          <w:sz w:val="24"/>
        </w:rPr>
        <w:t>技术指标若</w:t>
      </w:r>
      <w:r>
        <w:rPr>
          <w:rFonts w:hint="eastAsia" w:ascii="仿宋_GB2312" w:eastAsia="仿宋_GB2312"/>
          <w:sz w:val="24"/>
        </w:rPr>
        <w:t>有偏离，应在</w:t>
      </w:r>
      <w:r>
        <w:rPr>
          <w:rFonts w:ascii="仿宋_GB2312" w:eastAsia="仿宋_GB2312"/>
          <w:sz w:val="24"/>
        </w:rPr>
        <w:t>《技术偏离表》</w:t>
      </w:r>
      <w:r>
        <w:rPr>
          <w:rFonts w:hint="eastAsia" w:ascii="仿宋_GB2312" w:eastAsia="仿宋_GB2312"/>
          <w:sz w:val="24"/>
        </w:rPr>
        <w:t>“备注”一栏</w:t>
      </w:r>
      <w:r>
        <w:rPr>
          <w:rFonts w:ascii="仿宋_GB2312" w:eastAsia="仿宋_GB2312"/>
          <w:sz w:val="24"/>
        </w:rPr>
        <w:t>注明</w:t>
      </w:r>
      <w:r>
        <w:rPr>
          <w:rFonts w:hint="eastAsia" w:ascii="仿宋_GB2312" w:eastAsia="仿宋_GB2312"/>
          <w:sz w:val="24"/>
        </w:rPr>
        <w:t>“正（负）</w:t>
      </w:r>
      <w:r>
        <w:rPr>
          <w:rFonts w:ascii="仿宋_GB2312" w:eastAsia="仿宋_GB2312"/>
          <w:sz w:val="24"/>
        </w:rPr>
        <w:t>偏离</w:t>
      </w:r>
      <w:r>
        <w:rPr>
          <w:rFonts w:hint="eastAsia" w:ascii="仿宋_GB2312" w:eastAsia="仿宋_GB2312"/>
          <w:sz w:val="24"/>
        </w:rPr>
        <w:t>”</w:t>
      </w:r>
      <w:r>
        <w:rPr>
          <w:rFonts w:ascii="仿宋_GB2312" w:eastAsia="仿宋_GB2312"/>
          <w:sz w:val="24"/>
        </w:rPr>
        <w:t>字样。若</w:t>
      </w:r>
      <w:r>
        <w:rPr>
          <w:rFonts w:hint="eastAsia" w:ascii="仿宋_GB2312" w:eastAsia="仿宋_GB2312"/>
          <w:sz w:val="24"/>
        </w:rPr>
        <w:t>无偏离，应在</w:t>
      </w:r>
      <w:r>
        <w:rPr>
          <w:rFonts w:ascii="仿宋_GB2312" w:eastAsia="仿宋_GB2312"/>
          <w:sz w:val="24"/>
        </w:rPr>
        <w:t>《技术偏离表》</w:t>
      </w:r>
      <w:r>
        <w:rPr>
          <w:rFonts w:hint="eastAsia" w:ascii="仿宋_GB2312" w:eastAsia="仿宋_GB2312"/>
          <w:sz w:val="24"/>
        </w:rPr>
        <w:t>“备注”一栏</w:t>
      </w:r>
      <w:r>
        <w:rPr>
          <w:rFonts w:ascii="仿宋_GB2312" w:eastAsia="仿宋_GB2312"/>
          <w:sz w:val="24"/>
        </w:rPr>
        <w:t>注明</w:t>
      </w:r>
      <w:r>
        <w:rPr>
          <w:rFonts w:hint="eastAsia" w:ascii="仿宋_GB2312" w:eastAsia="仿宋_GB2312"/>
          <w:sz w:val="24"/>
        </w:rPr>
        <w:t>“无</w:t>
      </w:r>
      <w:r>
        <w:rPr>
          <w:rFonts w:ascii="仿宋_GB2312" w:eastAsia="仿宋_GB2312"/>
          <w:sz w:val="24"/>
        </w:rPr>
        <w:t>偏离</w:t>
      </w:r>
      <w:r>
        <w:rPr>
          <w:rFonts w:hint="eastAsia" w:ascii="仿宋_GB2312" w:eastAsia="仿宋_GB2312"/>
          <w:sz w:val="24"/>
        </w:rPr>
        <w:t>”</w:t>
      </w:r>
      <w:r>
        <w:rPr>
          <w:rFonts w:ascii="仿宋_GB2312" w:eastAsia="仿宋_GB2312"/>
          <w:sz w:val="24"/>
        </w:rPr>
        <w:t>字样。若</w:t>
      </w:r>
      <w:r>
        <w:rPr>
          <w:rFonts w:hint="eastAsia" w:ascii="仿宋_GB2312" w:eastAsia="仿宋_GB2312"/>
          <w:sz w:val="24"/>
        </w:rPr>
        <w:t>没有按照以上要求填写，</w:t>
      </w:r>
      <w:r>
        <w:rPr>
          <w:rFonts w:ascii="仿宋_GB2312" w:eastAsia="仿宋_GB2312"/>
          <w:sz w:val="24"/>
        </w:rPr>
        <w:t>即视为</w:t>
      </w:r>
      <w:r>
        <w:rPr>
          <w:rFonts w:hint="eastAsia" w:ascii="仿宋_GB2312" w:eastAsia="仿宋_GB2312"/>
          <w:sz w:val="24"/>
        </w:rPr>
        <w:t>投标人声明其技术指标不符合本招标文件技术规范要求，评标委员会</w:t>
      </w:r>
      <w:r>
        <w:rPr>
          <w:rFonts w:ascii="仿宋_GB2312" w:eastAsia="仿宋_GB2312"/>
          <w:sz w:val="24"/>
        </w:rPr>
        <w:t>有权据此作出废标的决定。</w:t>
      </w:r>
    </w:p>
    <w:p>
      <w:pPr>
        <w:autoSpaceDE w:val="0"/>
        <w:autoSpaceDN w:val="0"/>
        <w:adjustRightInd w:val="0"/>
        <w:spacing w:line="360" w:lineRule="auto"/>
        <w:jc w:val="center"/>
        <w:rPr>
          <w:rFonts w:ascii="宋体" w:hAnsi="宋体"/>
          <w:bCs/>
          <w:sz w:val="24"/>
          <w:szCs w:val="24"/>
        </w:rPr>
      </w:pP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授权代表签字：</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u w:val="single"/>
        </w:rPr>
      </w:pPr>
      <w:r>
        <w:rPr>
          <w:rFonts w:ascii="宋体" w:hAnsi="宋体"/>
          <w:bCs/>
          <w:sz w:val="24"/>
          <w:szCs w:val="24"/>
        </w:rPr>
        <w:t>公       章：</w:t>
      </w:r>
      <w:r>
        <w:rPr>
          <w:rFonts w:ascii="宋体" w:hAnsi="宋体"/>
          <w:bCs/>
          <w:sz w:val="24"/>
          <w:szCs w:val="24"/>
          <w:u w:val="single"/>
        </w:rPr>
        <w:t xml:space="preserve">                       </w:t>
      </w:r>
    </w:p>
    <w:p>
      <w:pPr>
        <w:autoSpaceDE w:val="0"/>
        <w:autoSpaceDN w:val="0"/>
        <w:adjustRightInd w:val="0"/>
        <w:spacing w:line="360" w:lineRule="auto"/>
        <w:jc w:val="center"/>
        <w:rPr>
          <w:rFonts w:ascii="宋体" w:hAnsi="宋体"/>
          <w:bCs/>
          <w:sz w:val="24"/>
          <w:szCs w:val="24"/>
        </w:rPr>
      </w:pPr>
      <w:r>
        <w:rPr>
          <w:rFonts w:ascii="宋体" w:hAnsi="宋体"/>
          <w:bCs/>
          <w:sz w:val="24"/>
          <w:szCs w:val="24"/>
        </w:rPr>
        <w:t>日       期：</w:t>
      </w:r>
      <w:r>
        <w:rPr>
          <w:rFonts w:ascii="宋体" w:hAnsi="宋体"/>
          <w:bCs/>
          <w:sz w:val="24"/>
          <w:szCs w:val="24"/>
          <w:u w:val="single"/>
        </w:rPr>
        <w:t xml:space="preserve">                       </w:t>
      </w:r>
    </w:p>
    <w:sectPr>
      <w:pgSz w:w="11906" w:h="16838"/>
      <w:pgMar w:top="1440" w:right="1230" w:bottom="1440" w:left="123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MingLiU">
    <w:panose1 w:val="02020309000000000000"/>
    <w:charset w:val="88"/>
    <w:family w:val="auto"/>
    <w:pitch w:val="default"/>
    <w:sig w:usb0="00000003" w:usb1="082E0000" w:usb2="00000016" w:usb3="00000000" w:csb0="00100001" w:csb1="00000000"/>
  </w:font>
  <w:font w:name="Tahoma">
    <w:panose1 w:val="020B0604030504040204"/>
    <w:charset w:val="00"/>
    <w:family w:val="auto"/>
    <w:pitch w:val="default"/>
    <w:sig w:usb0="61007A87" w:usb1="80000000" w:usb2="00000008" w:usb3="00000000" w:csb0="200101FF" w:csb1="20280000"/>
  </w:font>
  <w:font w:name="仿宋_GB2312">
    <w:panose1 w:val="02010609030101010101"/>
    <w:charset w:val="86"/>
    <w:family w:val="auto"/>
    <w:pitch w:val="default"/>
    <w:sig w:usb0="00000001" w:usb1="080E0000" w:usb2="00000000" w:usb3="00000000" w:csb0="00040000" w:csb1="00000000"/>
  </w:font>
  <w:font w:name="Arial Narrow">
    <w:panose1 w:val="020B0506020202030204"/>
    <w:charset w:val="00"/>
    <w:family w:val="auto"/>
    <w:pitch w:val="default"/>
    <w:sig w:usb0="00000287" w:usb1="00000000" w:usb2="00000000" w:usb3="00000000" w:csb0="2000009F" w:csb1="DFD70000"/>
  </w:font>
  <w:font w:name="仿宋">
    <w:altName w:val="仿宋_GB2312"/>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framePr w:wrap="around" w:vAnchor="text" w:hAnchor="margin" w:xAlign="center" w:y="1"/>
      <w:rPr>
        <w:rStyle w:val="21"/>
      </w:rPr>
    </w:pPr>
    <w:r>
      <w:fldChar w:fldCharType="begin"/>
    </w:r>
    <w:r>
      <w:rPr>
        <w:rStyle w:val="21"/>
      </w:rPr>
      <w:instrText xml:space="preserve">PAGE  </w:instrText>
    </w:r>
    <w:r>
      <w:fldChar w:fldCharType="separate"/>
    </w:r>
    <w:r>
      <w:rPr>
        <w:rStyle w:val="21"/>
      </w:rPr>
      <w:t>3</w:t>
    </w:r>
    <w: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framePr w:wrap="around" w:vAnchor="text" w:hAnchor="margin" w:xAlign="center" w:y="1"/>
      <w:rPr>
        <w:rStyle w:val="21"/>
      </w:rPr>
    </w:pPr>
    <w:r>
      <w:fldChar w:fldCharType="begin"/>
    </w:r>
    <w:r>
      <w:rPr>
        <w:rStyle w:val="21"/>
      </w:rPr>
      <w:instrText xml:space="preserve">PAGE  </w:instrText>
    </w:r>
    <w:r>
      <w:fldChar w:fldCharType="end"/>
    </w:r>
  </w:p>
  <w:p>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107888686">
    <w:nsid w:val="42090A2E"/>
    <w:multiLevelType w:val="multilevel"/>
    <w:tmpl w:val="42090A2E"/>
    <w:lvl w:ilvl="0" w:tentative="1">
      <w:start w:val="2"/>
      <w:numFmt w:val="japaneseCounting"/>
      <w:lvlText w:val="第%1章"/>
      <w:lvlJc w:val="left"/>
      <w:pPr>
        <w:tabs>
          <w:tab w:val="left" w:pos="1455"/>
        </w:tabs>
        <w:ind w:left="1455" w:hanging="1455"/>
      </w:pPr>
      <w:rPr>
        <w:rFonts w:hint="default"/>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446622812">
    <w:nsid w:val="5639B65C"/>
    <w:multiLevelType w:val="singleLevel"/>
    <w:tmpl w:val="5639B65C"/>
    <w:lvl w:ilvl="0" w:tentative="1">
      <w:start w:val="6"/>
      <w:numFmt w:val="chineseCounting"/>
      <w:suff w:val="space"/>
      <w:lvlText w:val="第%1章"/>
      <w:lvlJc w:val="left"/>
    </w:lvl>
  </w:abstractNum>
  <w:abstractNum w:abstractNumId="1446623407">
    <w:nsid w:val="5639B8AF"/>
    <w:multiLevelType w:val="singleLevel"/>
    <w:tmpl w:val="5639B8AF"/>
    <w:lvl w:ilvl="0" w:tentative="1">
      <w:start w:val="1"/>
      <w:numFmt w:val="decimal"/>
      <w:suff w:val="nothing"/>
      <w:lvlText w:val="%1、"/>
      <w:lvlJc w:val="left"/>
    </w:lvl>
  </w:abstractNum>
  <w:abstractNum w:abstractNumId="1446689256">
    <w:nsid w:val="563AB9E8"/>
    <w:multiLevelType w:val="singleLevel"/>
    <w:tmpl w:val="563AB9E8"/>
    <w:lvl w:ilvl="0" w:tentative="1">
      <w:start w:val="3"/>
      <w:numFmt w:val="decimal"/>
      <w:suff w:val="nothing"/>
      <w:lvlText w:val="%1."/>
      <w:lvlJc w:val="left"/>
    </w:lvl>
  </w:abstractNum>
  <w:num w:numId="1">
    <w:abstractNumId w:val="1107888686"/>
  </w:num>
  <w:num w:numId="2">
    <w:abstractNumId w:val="1446622812"/>
  </w:num>
  <w:num w:numId="3">
    <w:abstractNumId w:val="1446623407"/>
  </w:num>
  <w:num w:numId="4">
    <w:abstractNumId w:val="1446689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4F445D"/>
    <w:rsid w:val="000007C6"/>
    <w:rsid w:val="00003FEC"/>
    <w:rsid w:val="000142C4"/>
    <w:rsid w:val="00021281"/>
    <w:rsid w:val="00021B73"/>
    <w:rsid w:val="00025092"/>
    <w:rsid w:val="00026D3C"/>
    <w:rsid w:val="0003003E"/>
    <w:rsid w:val="00030D17"/>
    <w:rsid w:val="0003362D"/>
    <w:rsid w:val="00043D25"/>
    <w:rsid w:val="00044A4D"/>
    <w:rsid w:val="00056368"/>
    <w:rsid w:val="000658D6"/>
    <w:rsid w:val="000663A5"/>
    <w:rsid w:val="0008438F"/>
    <w:rsid w:val="000856AE"/>
    <w:rsid w:val="00085F1A"/>
    <w:rsid w:val="000907E9"/>
    <w:rsid w:val="0009090A"/>
    <w:rsid w:val="0009483B"/>
    <w:rsid w:val="00094C1F"/>
    <w:rsid w:val="00095F44"/>
    <w:rsid w:val="000A0AF5"/>
    <w:rsid w:val="000A6772"/>
    <w:rsid w:val="000B2A28"/>
    <w:rsid w:val="000B4E11"/>
    <w:rsid w:val="000C0AFD"/>
    <w:rsid w:val="000C431A"/>
    <w:rsid w:val="000C45AE"/>
    <w:rsid w:val="000C6ECC"/>
    <w:rsid w:val="000D2C73"/>
    <w:rsid w:val="000D3242"/>
    <w:rsid w:val="000D66EB"/>
    <w:rsid w:val="000D6AC4"/>
    <w:rsid w:val="000D6B7C"/>
    <w:rsid w:val="000E4347"/>
    <w:rsid w:val="000E57AD"/>
    <w:rsid w:val="000E5CFD"/>
    <w:rsid w:val="000F04B6"/>
    <w:rsid w:val="000F1BED"/>
    <w:rsid w:val="000F33A9"/>
    <w:rsid w:val="00102DDB"/>
    <w:rsid w:val="0010793F"/>
    <w:rsid w:val="00112984"/>
    <w:rsid w:val="00112A81"/>
    <w:rsid w:val="001159A4"/>
    <w:rsid w:val="0011690F"/>
    <w:rsid w:val="00120C65"/>
    <w:rsid w:val="0012186C"/>
    <w:rsid w:val="00133894"/>
    <w:rsid w:val="001353D4"/>
    <w:rsid w:val="00142322"/>
    <w:rsid w:val="0014238B"/>
    <w:rsid w:val="001476E8"/>
    <w:rsid w:val="00152140"/>
    <w:rsid w:val="0015776A"/>
    <w:rsid w:val="00162696"/>
    <w:rsid w:val="00164E0D"/>
    <w:rsid w:val="00165109"/>
    <w:rsid w:val="001668BE"/>
    <w:rsid w:val="00172B51"/>
    <w:rsid w:val="001747E3"/>
    <w:rsid w:val="00191309"/>
    <w:rsid w:val="001940BC"/>
    <w:rsid w:val="001967A3"/>
    <w:rsid w:val="001A29C9"/>
    <w:rsid w:val="001A74E2"/>
    <w:rsid w:val="001B0F98"/>
    <w:rsid w:val="001B1DE7"/>
    <w:rsid w:val="001B243D"/>
    <w:rsid w:val="001B41FC"/>
    <w:rsid w:val="001B5B69"/>
    <w:rsid w:val="001C2F68"/>
    <w:rsid w:val="001C64AC"/>
    <w:rsid w:val="001E128F"/>
    <w:rsid w:val="001E484D"/>
    <w:rsid w:val="001E6905"/>
    <w:rsid w:val="001F0334"/>
    <w:rsid w:val="001F1BA0"/>
    <w:rsid w:val="001F3311"/>
    <w:rsid w:val="0020465B"/>
    <w:rsid w:val="00214EF3"/>
    <w:rsid w:val="0022130F"/>
    <w:rsid w:val="00223512"/>
    <w:rsid w:val="002237EE"/>
    <w:rsid w:val="002238DE"/>
    <w:rsid w:val="0022457B"/>
    <w:rsid w:val="00225635"/>
    <w:rsid w:val="00230EC9"/>
    <w:rsid w:val="00233BC8"/>
    <w:rsid w:val="002349E1"/>
    <w:rsid w:val="00235277"/>
    <w:rsid w:val="00240D80"/>
    <w:rsid w:val="00244C9A"/>
    <w:rsid w:val="00246C12"/>
    <w:rsid w:val="00250221"/>
    <w:rsid w:val="0026202B"/>
    <w:rsid w:val="002637E7"/>
    <w:rsid w:val="00264C76"/>
    <w:rsid w:val="0026546A"/>
    <w:rsid w:val="002713DA"/>
    <w:rsid w:val="00273B0D"/>
    <w:rsid w:val="00284938"/>
    <w:rsid w:val="00286501"/>
    <w:rsid w:val="0029179E"/>
    <w:rsid w:val="0029191D"/>
    <w:rsid w:val="002947DF"/>
    <w:rsid w:val="00295DE9"/>
    <w:rsid w:val="002A4DDD"/>
    <w:rsid w:val="002B0AEB"/>
    <w:rsid w:val="002B5038"/>
    <w:rsid w:val="002C421C"/>
    <w:rsid w:val="002D030B"/>
    <w:rsid w:val="002D2E1E"/>
    <w:rsid w:val="002D3C49"/>
    <w:rsid w:val="002D5C5B"/>
    <w:rsid w:val="002D77A4"/>
    <w:rsid w:val="002E2FC4"/>
    <w:rsid w:val="002F30FB"/>
    <w:rsid w:val="002F3582"/>
    <w:rsid w:val="002F5246"/>
    <w:rsid w:val="002F5FEB"/>
    <w:rsid w:val="002F6D78"/>
    <w:rsid w:val="003024C9"/>
    <w:rsid w:val="003051F9"/>
    <w:rsid w:val="0030542D"/>
    <w:rsid w:val="00305D98"/>
    <w:rsid w:val="003060C2"/>
    <w:rsid w:val="0030663E"/>
    <w:rsid w:val="0031172A"/>
    <w:rsid w:val="003130CD"/>
    <w:rsid w:val="00320DB5"/>
    <w:rsid w:val="00330BAB"/>
    <w:rsid w:val="00331DFA"/>
    <w:rsid w:val="00333401"/>
    <w:rsid w:val="00342E2D"/>
    <w:rsid w:val="00343FD9"/>
    <w:rsid w:val="00345702"/>
    <w:rsid w:val="003465BA"/>
    <w:rsid w:val="00347689"/>
    <w:rsid w:val="003541A2"/>
    <w:rsid w:val="00376C60"/>
    <w:rsid w:val="00377C74"/>
    <w:rsid w:val="003B2187"/>
    <w:rsid w:val="003B5C21"/>
    <w:rsid w:val="003B76EE"/>
    <w:rsid w:val="003C2697"/>
    <w:rsid w:val="003C6503"/>
    <w:rsid w:val="003D42CF"/>
    <w:rsid w:val="003D547A"/>
    <w:rsid w:val="003D6181"/>
    <w:rsid w:val="003E1977"/>
    <w:rsid w:val="003E3842"/>
    <w:rsid w:val="003E42DD"/>
    <w:rsid w:val="003E69A9"/>
    <w:rsid w:val="004014DE"/>
    <w:rsid w:val="004072CD"/>
    <w:rsid w:val="0041032D"/>
    <w:rsid w:val="0041188C"/>
    <w:rsid w:val="00414567"/>
    <w:rsid w:val="004273D9"/>
    <w:rsid w:val="004306B2"/>
    <w:rsid w:val="00431CF0"/>
    <w:rsid w:val="004354DF"/>
    <w:rsid w:val="00437BDF"/>
    <w:rsid w:val="004406B5"/>
    <w:rsid w:val="004448CE"/>
    <w:rsid w:val="00450C74"/>
    <w:rsid w:val="00454C04"/>
    <w:rsid w:val="0047320A"/>
    <w:rsid w:val="004735B9"/>
    <w:rsid w:val="00477AD2"/>
    <w:rsid w:val="00480645"/>
    <w:rsid w:val="0048432D"/>
    <w:rsid w:val="00487585"/>
    <w:rsid w:val="0049314C"/>
    <w:rsid w:val="00496A6C"/>
    <w:rsid w:val="004A388F"/>
    <w:rsid w:val="004A4853"/>
    <w:rsid w:val="004A5A9C"/>
    <w:rsid w:val="004A7B3F"/>
    <w:rsid w:val="004B7066"/>
    <w:rsid w:val="004C1107"/>
    <w:rsid w:val="004C6A58"/>
    <w:rsid w:val="004E7219"/>
    <w:rsid w:val="004E7336"/>
    <w:rsid w:val="004F373F"/>
    <w:rsid w:val="004F445D"/>
    <w:rsid w:val="004F4F24"/>
    <w:rsid w:val="004F528F"/>
    <w:rsid w:val="004F53D5"/>
    <w:rsid w:val="004F7FE1"/>
    <w:rsid w:val="00501692"/>
    <w:rsid w:val="005022D0"/>
    <w:rsid w:val="00502568"/>
    <w:rsid w:val="0052419C"/>
    <w:rsid w:val="00530665"/>
    <w:rsid w:val="005318C9"/>
    <w:rsid w:val="00542A5F"/>
    <w:rsid w:val="0054579E"/>
    <w:rsid w:val="00550D5A"/>
    <w:rsid w:val="00552210"/>
    <w:rsid w:val="00553877"/>
    <w:rsid w:val="005575FE"/>
    <w:rsid w:val="00562EBF"/>
    <w:rsid w:val="00565FAB"/>
    <w:rsid w:val="005665D7"/>
    <w:rsid w:val="0057134D"/>
    <w:rsid w:val="005716B9"/>
    <w:rsid w:val="005742B6"/>
    <w:rsid w:val="00576243"/>
    <w:rsid w:val="00577B75"/>
    <w:rsid w:val="005825D1"/>
    <w:rsid w:val="005A0B9F"/>
    <w:rsid w:val="005A0E9F"/>
    <w:rsid w:val="005A2E9F"/>
    <w:rsid w:val="005A3894"/>
    <w:rsid w:val="005A597A"/>
    <w:rsid w:val="005B007B"/>
    <w:rsid w:val="005B1465"/>
    <w:rsid w:val="005B2677"/>
    <w:rsid w:val="005B7641"/>
    <w:rsid w:val="005E1346"/>
    <w:rsid w:val="005E2523"/>
    <w:rsid w:val="005E520E"/>
    <w:rsid w:val="005E6F05"/>
    <w:rsid w:val="005E760B"/>
    <w:rsid w:val="005F0C9F"/>
    <w:rsid w:val="0060072B"/>
    <w:rsid w:val="00603FE5"/>
    <w:rsid w:val="00604310"/>
    <w:rsid w:val="00604B85"/>
    <w:rsid w:val="0061003A"/>
    <w:rsid w:val="00610A79"/>
    <w:rsid w:val="006117E2"/>
    <w:rsid w:val="00615D01"/>
    <w:rsid w:val="006177D9"/>
    <w:rsid w:val="00622346"/>
    <w:rsid w:val="00624B31"/>
    <w:rsid w:val="00625C0C"/>
    <w:rsid w:val="0063143B"/>
    <w:rsid w:val="00636F11"/>
    <w:rsid w:val="00641ED9"/>
    <w:rsid w:val="0064483C"/>
    <w:rsid w:val="00650BC3"/>
    <w:rsid w:val="00670792"/>
    <w:rsid w:val="006768AE"/>
    <w:rsid w:val="00683AF9"/>
    <w:rsid w:val="0069427D"/>
    <w:rsid w:val="006A0F98"/>
    <w:rsid w:val="006A1066"/>
    <w:rsid w:val="006A1942"/>
    <w:rsid w:val="006A27A5"/>
    <w:rsid w:val="006B15F5"/>
    <w:rsid w:val="006B50D1"/>
    <w:rsid w:val="006C0E8B"/>
    <w:rsid w:val="006C2F03"/>
    <w:rsid w:val="006C3484"/>
    <w:rsid w:val="006C3935"/>
    <w:rsid w:val="006C65CA"/>
    <w:rsid w:val="006C6724"/>
    <w:rsid w:val="006C727C"/>
    <w:rsid w:val="006D0FDD"/>
    <w:rsid w:val="006D27BB"/>
    <w:rsid w:val="006D2939"/>
    <w:rsid w:val="006D36C6"/>
    <w:rsid w:val="006E13EE"/>
    <w:rsid w:val="006E4D7F"/>
    <w:rsid w:val="006E75A7"/>
    <w:rsid w:val="006E7A13"/>
    <w:rsid w:val="007043AC"/>
    <w:rsid w:val="007052D7"/>
    <w:rsid w:val="00710147"/>
    <w:rsid w:val="00712CD9"/>
    <w:rsid w:val="0071315C"/>
    <w:rsid w:val="00715987"/>
    <w:rsid w:val="00742703"/>
    <w:rsid w:val="00744732"/>
    <w:rsid w:val="00752E0B"/>
    <w:rsid w:val="007610FE"/>
    <w:rsid w:val="0077203D"/>
    <w:rsid w:val="00783F66"/>
    <w:rsid w:val="00791CDE"/>
    <w:rsid w:val="0079264F"/>
    <w:rsid w:val="00793DBF"/>
    <w:rsid w:val="007968FC"/>
    <w:rsid w:val="00797886"/>
    <w:rsid w:val="007A0395"/>
    <w:rsid w:val="007A3999"/>
    <w:rsid w:val="007B77A9"/>
    <w:rsid w:val="007C5124"/>
    <w:rsid w:val="007D6425"/>
    <w:rsid w:val="007D6ACA"/>
    <w:rsid w:val="007D7595"/>
    <w:rsid w:val="007E717E"/>
    <w:rsid w:val="00800D98"/>
    <w:rsid w:val="00810A5E"/>
    <w:rsid w:val="00811A94"/>
    <w:rsid w:val="00812ED9"/>
    <w:rsid w:val="008139F6"/>
    <w:rsid w:val="0081668A"/>
    <w:rsid w:val="00834F5E"/>
    <w:rsid w:val="008368B8"/>
    <w:rsid w:val="008411F8"/>
    <w:rsid w:val="00846D68"/>
    <w:rsid w:val="00853B8C"/>
    <w:rsid w:val="00853BBD"/>
    <w:rsid w:val="0086144A"/>
    <w:rsid w:val="00862ADA"/>
    <w:rsid w:val="00866423"/>
    <w:rsid w:val="008672DC"/>
    <w:rsid w:val="008703E2"/>
    <w:rsid w:val="008802A3"/>
    <w:rsid w:val="00886FAD"/>
    <w:rsid w:val="00894B8B"/>
    <w:rsid w:val="00895424"/>
    <w:rsid w:val="008A0E75"/>
    <w:rsid w:val="008A5D68"/>
    <w:rsid w:val="008A5FB9"/>
    <w:rsid w:val="008B299D"/>
    <w:rsid w:val="008B50D1"/>
    <w:rsid w:val="008B553E"/>
    <w:rsid w:val="008D3409"/>
    <w:rsid w:val="008D50C8"/>
    <w:rsid w:val="008E01F2"/>
    <w:rsid w:val="008E38E8"/>
    <w:rsid w:val="008E4A59"/>
    <w:rsid w:val="008F3415"/>
    <w:rsid w:val="00902611"/>
    <w:rsid w:val="009047FE"/>
    <w:rsid w:val="00904BE3"/>
    <w:rsid w:val="00907BA0"/>
    <w:rsid w:val="00913BEB"/>
    <w:rsid w:val="00916ADE"/>
    <w:rsid w:val="00916C2A"/>
    <w:rsid w:val="0094535B"/>
    <w:rsid w:val="00945F74"/>
    <w:rsid w:val="0096107E"/>
    <w:rsid w:val="009657E3"/>
    <w:rsid w:val="00974A96"/>
    <w:rsid w:val="0098361C"/>
    <w:rsid w:val="00984AFF"/>
    <w:rsid w:val="00985835"/>
    <w:rsid w:val="00985A34"/>
    <w:rsid w:val="009862F9"/>
    <w:rsid w:val="009914D3"/>
    <w:rsid w:val="00997147"/>
    <w:rsid w:val="009A0499"/>
    <w:rsid w:val="009B72C2"/>
    <w:rsid w:val="009B7A13"/>
    <w:rsid w:val="009C0A2A"/>
    <w:rsid w:val="009C1B04"/>
    <w:rsid w:val="009D0806"/>
    <w:rsid w:val="009D0C39"/>
    <w:rsid w:val="009D54CA"/>
    <w:rsid w:val="009E2FC1"/>
    <w:rsid w:val="009E6935"/>
    <w:rsid w:val="009E6AC7"/>
    <w:rsid w:val="009F1EA1"/>
    <w:rsid w:val="009F2677"/>
    <w:rsid w:val="009F2F5A"/>
    <w:rsid w:val="009F45DE"/>
    <w:rsid w:val="009F7D24"/>
    <w:rsid w:val="00A03AE1"/>
    <w:rsid w:val="00A208A0"/>
    <w:rsid w:val="00A24728"/>
    <w:rsid w:val="00A26823"/>
    <w:rsid w:val="00A32996"/>
    <w:rsid w:val="00A34970"/>
    <w:rsid w:val="00A403E5"/>
    <w:rsid w:val="00A45E2F"/>
    <w:rsid w:val="00A5127D"/>
    <w:rsid w:val="00A563A5"/>
    <w:rsid w:val="00A62399"/>
    <w:rsid w:val="00A71BB9"/>
    <w:rsid w:val="00A720F6"/>
    <w:rsid w:val="00A72720"/>
    <w:rsid w:val="00A77717"/>
    <w:rsid w:val="00A8080E"/>
    <w:rsid w:val="00A81D1D"/>
    <w:rsid w:val="00A86CA5"/>
    <w:rsid w:val="00A86DDD"/>
    <w:rsid w:val="00A91DA4"/>
    <w:rsid w:val="00A93313"/>
    <w:rsid w:val="00A97D85"/>
    <w:rsid w:val="00AA1E12"/>
    <w:rsid w:val="00AA2113"/>
    <w:rsid w:val="00AA23F2"/>
    <w:rsid w:val="00AB1535"/>
    <w:rsid w:val="00AB61D7"/>
    <w:rsid w:val="00AC1550"/>
    <w:rsid w:val="00AD1258"/>
    <w:rsid w:val="00AD3CBC"/>
    <w:rsid w:val="00AD5F65"/>
    <w:rsid w:val="00AD7277"/>
    <w:rsid w:val="00AF1EE0"/>
    <w:rsid w:val="00B10273"/>
    <w:rsid w:val="00B13B69"/>
    <w:rsid w:val="00B1480E"/>
    <w:rsid w:val="00B21DD4"/>
    <w:rsid w:val="00B22FBF"/>
    <w:rsid w:val="00B245A0"/>
    <w:rsid w:val="00B25A2B"/>
    <w:rsid w:val="00B40C06"/>
    <w:rsid w:val="00B438D1"/>
    <w:rsid w:val="00B45C3C"/>
    <w:rsid w:val="00B56A96"/>
    <w:rsid w:val="00B61699"/>
    <w:rsid w:val="00B67897"/>
    <w:rsid w:val="00B712EF"/>
    <w:rsid w:val="00B87B87"/>
    <w:rsid w:val="00B90018"/>
    <w:rsid w:val="00B959EA"/>
    <w:rsid w:val="00BA1A97"/>
    <w:rsid w:val="00BA1FFD"/>
    <w:rsid w:val="00BA2A11"/>
    <w:rsid w:val="00BA490A"/>
    <w:rsid w:val="00BA5680"/>
    <w:rsid w:val="00BB3F67"/>
    <w:rsid w:val="00BC292C"/>
    <w:rsid w:val="00BD415F"/>
    <w:rsid w:val="00BD4467"/>
    <w:rsid w:val="00BE5C2C"/>
    <w:rsid w:val="00BE65CC"/>
    <w:rsid w:val="00BE7CC7"/>
    <w:rsid w:val="00BF0646"/>
    <w:rsid w:val="00BF1658"/>
    <w:rsid w:val="00BF2448"/>
    <w:rsid w:val="00C0419C"/>
    <w:rsid w:val="00C05D44"/>
    <w:rsid w:val="00C06542"/>
    <w:rsid w:val="00C102D8"/>
    <w:rsid w:val="00C10C23"/>
    <w:rsid w:val="00C11866"/>
    <w:rsid w:val="00C11B5B"/>
    <w:rsid w:val="00C218AA"/>
    <w:rsid w:val="00C22A36"/>
    <w:rsid w:val="00C25B74"/>
    <w:rsid w:val="00C350F3"/>
    <w:rsid w:val="00C3637D"/>
    <w:rsid w:val="00C376B4"/>
    <w:rsid w:val="00C409E3"/>
    <w:rsid w:val="00C45368"/>
    <w:rsid w:val="00C54AE0"/>
    <w:rsid w:val="00C57B93"/>
    <w:rsid w:val="00C6084A"/>
    <w:rsid w:val="00C60D9E"/>
    <w:rsid w:val="00C631BE"/>
    <w:rsid w:val="00C762B2"/>
    <w:rsid w:val="00C777A5"/>
    <w:rsid w:val="00C81F1C"/>
    <w:rsid w:val="00C82336"/>
    <w:rsid w:val="00C82F06"/>
    <w:rsid w:val="00C83C9F"/>
    <w:rsid w:val="00C844DA"/>
    <w:rsid w:val="00C84615"/>
    <w:rsid w:val="00C86172"/>
    <w:rsid w:val="00CA4E32"/>
    <w:rsid w:val="00CA5F36"/>
    <w:rsid w:val="00CA790B"/>
    <w:rsid w:val="00CB41DD"/>
    <w:rsid w:val="00CB44D3"/>
    <w:rsid w:val="00CB55D8"/>
    <w:rsid w:val="00CB644D"/>
    <w:rsid w:val="00CB7AF7"/>
    <w:rsid w:val="00CD0D1C"/>
    <w:rsid w:val="00CE2391"/>
    <w:rsid w:val="00CE4CAE"/>
    <w:rsid w:val="00CE56CD"/>
    <w:rsid w:val="00CE5AD4"/>
    <w:rsid w:val="00CF0A81"/>
    <w:rsid w:val="00CF7D8E"/>
    <w:rsid w:val="00D00E18"/>
    <w:rsid w:val="00D02542"/>
    <w:rsid w:val="00D04222"/>
    <w:rsid w:val="00D10152"/>
    <w:rsid w:val="00D10E6E"/>
    <w:rsid w:val="00D169E8"/>
    <w:rsid w:val="00D1781C"/>
    <w:rsid w:val="00D2423C"/>
    <w:rsid w:val="00D2440E"/>
    <w:rsid w:val="00D256B6"/>
    <w:rsid w:val="00D31DE9"/>
    <w:rsid w:val="00D37FEC"/>
    <w:rsid w:val="00D506CC"/>
    <w:rsid w:val="00D50C75"/>
    <w:rsid w:val="00D60C1A"/>
    <w:rsid w:val="00D65C8B"/>
    <w:rsid w:val="00D77C7F"/>
    <w:rsid w:val="00D875A6"/>
    <w:rsid w:val="00DA399B"/>
    <w:rsid w:val="00DA6562"/>
    <w:rsid w:val="00DB171B"/>
    <w:rsid w:val="00DB5190"/>
    <w:rsid w:val="00DB6C4C"/>
    <w:rsid w:val="00DB6CFC"/>
    <w:rsid w:val="00DB7F5A"/>
    <w:rsid w:val="00DC3565"/>
    <w:rsid w:val="00DC3662"/>
    <w:rsid w:val="00DC4D47"/>
    <w:rsid w:val="00DC658C"/>
    <w:rsid w:val="00DD00B5"/>
    <w:rsid w:val="00DD39E1"/>
    <w:rsid w:val="00DD55E9"/>
    <w:rsid w:val="00DE5476"/>
    <w:rsid w:val="00DF002C"/>
    <w:rsid w:val="00DF1529"/>
    <w:rsid w:val="00DF63EE"/>
    <w:rsid w:val="00E01F0C"/>
    <w:rsid w:val="00E1560D"/>
    <w:rsid w:val="00E226E4"/>
    <w:rsid w:val="00E24C36"/>
    <w:rsid w:val="00E307EA"/>
    <w:rsid w:val="00E30C36"/>
    <w:rsid w:val="00E3130A"/>
    <w:rsid w:val="00E3278D"/>
    <w:rsid w:val="00E330CC"/>
    <w:rsid w:val="00E355CB"/>
    <w:rsid w:val="00E430BA"/>
    <w:rsid w:val="00E44D03"/>
    <w:rsid w:val="00E44F50"/>
    <w:rsid w:val="00E50239"/>
    <w:rsid w:val="00E50882"/>
    <w:rsid w:val="00E51515"/>
    <w:rsid w:val="00E51F17"/>
    <w:rsid w:val="00E52220"/>
    <w:rsid w:val="00E5367F"/>
    <w:rsid w:val="00E55557"/>
    <w:rsid w:val="00E70618"/>
    <w:rsid w:val="00E76E00"/>
    <w:rsid w:val="00E85FCC"/>
    <w:rsid w:val="00E90FA5"/>
    <w:rsid w:val="00E94286"/>
    <w:rsid w:val="00E97918"/>
    <w:rsid w:val="00EB2C16"/>
    <w:rsid w:val="00EB740D"/>
    <w:rsid w:val="00EC5637"/>
    <w:rsid w:val="00EC7576"/>
    <w:rsid w:val="00ED57ED"/>
    <w:rsid w:val="00ED790C"/>
    <w:rsid w:val="00EE2DF3"/>
    <w:rsid w:val="00EE4CE1"/>
    <w:rsid w:val="00EE6E02"/>
    <w:rsid w:val="00EF792C"/>
    <w:rsid w:val="00F006E6"/>
    <w:rsid w:val="00F00D65"/>
    <w:rsid w:val="00F025D7"/>
    <w:rsid w:val="00F03D92"/>
    <w:rsid w:val="00F04D09"/>
    <w:rsid w:val="00F05E54"/>
    <w:rsid w:val="00F0682B"/>
    <w:rsid w:val="00F11968"/>
    <w:rsid w:val="00F1247F"/>
    <w:rsid w:val="00F13795"/>
    <w:rsid w:val="00F219CF"/>
    <w:rsid w:val="00F23EB3"/>
    <w:rsid w:val="00F32ED2"/>
    <w:rsid w:val="00F34720"/>
    <w:rsid w:val="00F34BC6"/>
    <w:rsid w:val="00F3557B"/>
    <w:rsid w:val="00F437C3"/>
    <w:rsid w:val="00F52916"/>
    <w:rsid w:val="00F558C8"/>
    <w:rsid w:val="00F56560"/>
    <w:rsid w:val="00F6729F"/>
    <w:rsid w:val="00F713E5"/>
    <w:rsid w:val="00F72EFE"/>
    <w:rsid w:val="00F7481A"/>
    <w:rsid w:val="00F76952"/>
    <w:rsid w:val="00F83F89"/>
    <w:rsid w:val="00F86E65"/>
    <w:rsid w:val="00F91E33"/>
    <w:rsid w:val="00F924FB"/>
    <w:rsid w:val="00F95C6A"/>
    <w:rsid w:val="00F97885"/>
    <w:rsid w:val="00FD19E0"/>
    <w:rsid w:val="00FD1C6C"/>
    <w:rsid w:val="00FD61B0"/>
    <w:rsid w:val="00FF03D0"/>
    <w:rsid w:val="01AA35C6"/>
    <w:rsid w:val="023C66B8"/>
    <w:rsid w:val="029E5458"/>
    <w:rsid w:val="03711F25"/>
    <w:rsid w:val="03A27284"/>
    <w:rsid w:val="03E37CED"/>
    <w:rsid w:val="044415B6"/>
    <w:rsid w:val="045C66B2"/>
    <w:rsid w:val="04E81B1A"/>
    <w:rsid w:val="056A6870"/>
    <w:rsid w:val="05EF0446"/>
    <w:rsid w:val="05F81957"/>
    <w:rsid w:val="08A34DB8"/>
    <w:rsid w:val="08BB5FC9"/>
    <w:rsid w:val="09172147"/>
    <w:rsid w:val="098C47D2"/>
    <w:rsid w:val="0E3B7968"/>
    <w:rsid w:val="1235726B"/>
    <w:rsid w:val="13662783"/>
    <w:rsid w:val="137333F8"/>
    <w:rsid w:val="14543A2C"/>
    <w:rsid w:val="148235B5"/>
    <w:rsid w:val="148E1E42"/>
    <w:rsid w:val="15044A88"/>
    <w:rsid w:val="15242DBE"/>
    <w:rsid w:val="155B0D1A"/>
    <w:rsid w:val="16014FD9"/>
    <w:rsid w:val="165F72C3"/>
    <w:rsid w:val="16ED23AA"/>
    <w:rsid w:val="177577B2"/>
    <w:rsid w:val="19024013"/>
    <w:rsid w:val="19170735"/>
    <w:rsid w:val="1A3B0898"/>
    <w:rsid w:val="1A410D66"/>
    <w:rsid w:val="1CBB7632"/>
    <w:rsid w:val="1F053762"/>
    <w:rsid w:val="208244E5"/>
    <w:rsid w:val="21452025"/>
    <w:rsid w:val="234E207A"/>
    <w:rsid w:val="23EC0172"/>
    <w:rsid w:val="251B253E"/>
    <w:rsid w:val="28095CBF"/>
    <w:rsid w:val="280B2958"/>
    <w:rsid w:val="28DC6898"/>
    <w:rsid w:val="297E60A1"/>
    <w:rsid w:val="2ADF497E"/>
    <w:rsid w:val="2B88197A"/>
    <w:rsid w:val="2BBF4052"/>
    <w:rsid w:val="2C0A6A50"/>
    <w:rsid w:val="2E8A57EA"/>
    <w:rsid w:val="2EE943C6"/>
    <w:rsid w:val="2F1808D1"/>
    <w:rsid w:val="2F2D0876"/>
    <w:rsid w:val="2FF16036"/>
    <w:rsid w:val="319676E2"/>
    <w:rsid w:val="33F82133"/>
    <w:rsid w:val="340D03F4"/>
    <w:rsid w:val="35740C40"/>
    <w:rsid w:val="35F55D16"/>
    <w:rsid w:val="3652301C"/>
    <w:rsid w:val="3699519F"/>
    <w:rsid w:val="37253E8A"/>
    <w:rsid w:val="375201D1"/>
    <w:rsid w:val="37680087"/>
    <w:rsid w:val="37A8535D"/>
    <w:rsid w:val="384B4EC6"/>
    <w:rsid w:val="39986BA2"/>
    <w:rsid w:val="3A9D7C66"/>
    <w:rsid w:val="3CB44AA5"/>
    <w:rsid w:val="3D8C258A"/>
    <w:rsid w:val="3EA767FB"/>
    <w:rsid w:val="410D483E"/>
    <w:rsid w:val="43FF6C9B"/>
    <w:rsid w:val="448C1D82"/>
    <w:rsid w:val="44E52A76"/>
    <w:rsid w:val="46586709"/>
    <w:rsid w:val="47F43554"/>
    <w:rsid w:val="48137C2C"/>
    <w:rsid w:val="49352AAB"/>
    <w:rsid w:val="49626DF3"/>
    <w:rsid w:val="4A891AC3"/>
    <w:rsid w:val="4B091C9E"/>
    <w:rsid w:val="4CDB5DA5"/>
    <w:rsid w:val="4D00306F"/>
    <w:rsid w:val="4EB856B6"/>
    <w:rsid w:val="4EB877DC"/>
    <w:rsid w:val="520379C5"/>
    <w:rsid w:val="543037F9"/>
    <w:rsid w:val="54804BD3"/>
    <w:rsid w:val="54D413B8"/>
    <w:rsid w:val="553C0723"/>
    <w:rsid w:val="56067EAA"/>
    <w:rsid w:val="572419D6"/>
    <w:rsid w:val="577F481A"/>
    <w:rsid w:val="5804125B"/>
    <w:rsid w:val="589A626B"/>
    <w:rsid w:val="59C618D4"/>
    <w:rsid w:val="5B195385"/>
    <w:rsid w:val="5B507A5E"/>
    <w:rsid w:val="5C835DDF"/>
    <w:rsid w:val="5FFE26B6"/>
    <w:rsid w:val="609E13D3"/>
    <w:rsid w:val="60A81824"/>
    <w:rsid w:val="60DE0679"/>
    <w:rsid w:val="61351088"/>
    <w:rsid w:val="637473B8"/>
    <w:rsid w:val="6463123F"/>
    <w:rsid w:val="659473B3"/>
    <w:rsid w:val="663947CD"/>
    <w:rsid w:val="666C4E98"/>
    <w:rsid w:val="6849769F"/>
    <w:rsid w:val="6A071E00"/>
    <w:rsid w:val="6A886ED6"/>
    <w:rsid w:val="6CD23598"/>
    <w:rsid w:val="6DD85044"/>
    <w:rsid w:val="6E7064BC"/>
    <w:rsid w:val="6EDF23B1"/>
    <w:rsid w:val="6F073538"/>
    <w:rsid w:val="6F6822D7"/>
    <w:rsid w:val="6FB12F96"/>
    <w:rsid w:val="6FE51766"/>
    <w:rsid w:val="700C1760"/>
    <w:rsid w:val="708E6837"/>
    <w:rsid w:val="70EC77D2"/>
    <w:rsid w:val="711461C7"/>
    <w:rsid w:val="7523723A"/>
    <w:rsid w:val="7538395C"/>
    <w:rsid w:val="755D66F4"/>
    <w:rsid w:val="76DB4AE2"/>
    <w:rsid w:val="776358AD"/>
    <w:rsid w:val="78FD0B8F"/>
    <w:rsid w:val="791407B4"/>
    <w:rsid w:val="7AD70BA9"/>
    <w:rsid w:val="7B6843F9"/>
    <w:rsid w:val="7B7F75A9"/>
    <w:rsid w:val="7C34190D"/>
    <w:rsid w:val="7C99137B"/>
    <w:rsid w:val="7D1144BC"/>
    <w:rsid w:val="7DEC78D9"/>
    <w:rsid w:val="7E006343"/>
    <w:rsid w:val="7E261B32"/>
    <w:rsid w:val="7F2464A6"/>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name="toc 1"/>
    <w:lsdException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0"/>
    <w:qFormat/>
    <w:uiPriority w:val="0"/>
    <w:pPr>
      <w:keepNext/>
      <w:keepLines/>
      <w:spacing w:before="260" w:after="260" w:line="415" w:lineRule="auto"/>
      <w:outlineLvl w:val="2"/>
    </w:pPr>
    <w:rPr>
      <w:rFonts w:ascii="黑体" w:hAnsi="宋体" w:eastAsia="黑体"/>
      <w:b/>
      <w:bCs/>
      <w:color w:val="000000"/>
      <w:kern w:val="44"/>
      <w:sz w:val="28"/>
    </w:rPr>
  </w:style>
  <w:style w:type="character" w:default="1" w:styleId="20">
    <w:name w:val="Default Paragraph Font"/>
    <w:unhideWhenUsed/>
    <w:uiPriority w:val="1"/>
  </w:style>
  <w:style w:type="table" w:default="1" w:styleId="24">
    <w:name w:val="Normal Table"/>
    <w:unhideWhenUsed/>
    <w:qFormat/>
    <w:uiPriority w:val="99"/>
    <w:tblPr>
      <w:tblStyle w:val="24"/>
      <w:tblLayout w:type="fixed"/>
      <w:tblCellMar>
        <w:top w:w="0" w:type="dxa"/>
        <w:left w:w="108" w:type="dxa"/>
        <w:bottom w:w="0" w:type="dxa"/>
        <w:right w:w="108" w:type="dxa"/>
      </w:tblCellMar>
    </w:tblPr>
    <w:tcPr>
      <w:textDirection w:val="lrTb"/>
    </w:tcPr>
  </w:style>
  <w:style w:type="paragraph" w:styleId="5">
    <w:name w:val="annotation subject"/>
    <w:basedOn w:val="6"/>
    <w:next w:val="6"/>
    <w:semiHidden/>
    <w:uiPriority w:val="0"/>
    <w:rPr>
      <w:b/>
      <w:bCs/>
      <w:szCs w:val="20"/>
    </w:rPr>
  </w:style>
  <w:style w:type="paragraph" w:styleId="6">
    <w:name w:val="annotation text"/>
    <w:basedOn w:val="1"/>
    <w:uiPriority w:val="0"/>
    <w:pPr>
      <w:jc w:val="left"/>
    </w:pPr>
    <w:rPr>
      <w:szCs w:val="24"/>
    </w:rPr>
  </w:style>
  <w:style w:type="paragraph" w:styleId="7">
    <w:name w:val="Normal Indent"/>
    <w:basedOn w:val="1"/>
    <w:uiPriority w:val="0"/>
    <w:pPr>
      <w:ind w:firstLine="420"/>
    </w:pPr>
    <w:rPr>
      <w:rFonts w:eastAsia="Times New Roman"/>
      <w:szCs w:val="24"/>
    </w:rPr>
  </w:style>
  <w:style w:type="paragraph" w:styleId="8">
    <w:name w:val="Document Map"/>
    <w:basedOn w:val="1"/>
    <w:semiHidden/>
    <w:uiPriority w:val="0"/>
    <w:pPr>
      <w:shd w:val="clear" w:color="auto" w:fill="000080"/>
    </w:pPr>
  </w:style>
  <w:style w:type="paragraph" w:styleId="9">
    <w:name w:val="Body Text Indent"/>
    <w:basedOn w:val="1"/>
    <w:uiPriority w:val="0"/>
    <w:pPr>
      <w:spacing w:after="120"/>
      <w:ind w:left="420" w:leftChars="200"/>
    </w:pPr>
  </w:style>
  <w:style w:type="paragraph" w:styleId="10">
    <w:name w:val="Plain Text"/>
    <w:basedOn w:val="1"/>
    <w:link w:val="29"/>
    <w:uiPriority w:val="0"/>
    <w:rPr>
      <w:rFonts w:ascii="宋体" w:hAnsi="Courier New"/>
    </w:rPr>
  </w:style>
  <w:style w:type="paragraph" w:styleId="11">
    <w:name w:val="Date"/>
    <w:basedOn w:val="1"/>
    <w:next w:val="1"/>
    <w:uiPriority w:val="0"/>
    <w:pPr>
      <w:ind w:left="100" w:leftChars="2500"/>
    </w:pPr>
  </w:style>
  <w:style w:type="paragraph" w:styleId="12">
    <w:name w:val="Body Text Indent 2"/>
    <w:basedOn w:val="1"/>
    <w:uiPriority w:val="0"/>
    <w:pPr>
      <w:spacing w:line="360" w:lineRule="atLeast"/>
      <w:ind w:firstLine="420" w:firstLineChars="200"/>
    </w:pPr>
  </w:style>
  <w:style w:type="paragraph" w:styleId="13">
    <w:name w:val="Balloon Text"/>
    <w:basedOn w:val="1"/>
    <w:semiHidden/>
    <w:uiPriority w:val="0"/>
    <w:rPr>
      <w:sz w:val="18"/>
      <w:szCs w:val="18"/>
    </w:rPr>
  </w:style>
  <w:style w:type="paragraph" w:styleId="14">
    <w:name w:val="footer"/>
    <w:basedOn w:val="1"/>
    <w:uiPriority w:val="0"/>
    <w:pPr>
      <w:tabs>
        <w:tab w:val="center" w:pos="4153"/>
        <w:tab w:val="right" w:pos="8306"/>
      </w:tabs>
      <w:snapToGrid w:val="0"/>
      <w:jc w:val="left"/>
    </w:pPr>
    <w:rPr>
      <w:sz w:val="18"/>
      <w:szCs w:val="18"/>
    </w:rPr>
  </w:style>
  <w:style w:type="paragraph" w:styleId="15">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semiHidden/>
    <w:uiPriority w:val="0"/>
    <w:rPr>
      <w:szCs w:val="24"/>
    </w:rPr>
  </w:style>
  <w:style w:type="paragraph" w:styleId="17">
    <w:name w:val="Body Text Indent 3"/>
    <w:basedOn w:val="1"/>
    <w:uiPriority w:val="0"/>
    <w:pPr>
      <w:spacing w:after="120"/>
      <w:ind w:left="420" w:leftChars="200"/>
    </w:pPr>
    <w:rPr>
      <w:sz w:val="16"/>
      <w:szCs w:val="16"/>
    </w:rPr>
  </w:style>
  <w:style w:type="paragraph" w:styleId="18">
    <w:name w:val="toc 2"/>
    <w:basedOn w:val="1"/>
    <w:next w:val="1"/>
    <w:semiHidden/>
    <w:uiPriority w:val="0"/>
    <w:pPr>
      <w:ind w:left="420" w:leftChars="200"/>
    </w:pPr>
    <w:rPr>
      <w:szCs w:val="24"/>
    </w:rPr>
  </w:style>
  <w:style w:type="paragraph" w:styleId="19">
    <w:name w:val="Body Text 2"/>
    <w:basedOn w:val="1"/>
    <w:uiPriority w:val="0"/>
    <w:pPr>
      <w:spacing w:after="120" w:line="480" w:lineRule="auto"/>
    </w:pPr>
  </w:style>
  <w:style w:type="character" w:styleId="21">
    <w:name w:val="page number"/>
    <w:basedOn w:val="20"/>
    <w:uiPriority w:val="0"/>
    <w:rPr/>
  </w:style>
  <w:style w:type="character" w:styleId="22">
    <w:name w:val="Hyperlink"/>
    <w:uiPriority w:val="0"/>
    <w:rPr>
      <w:color w:val="0000FF"/>
      <w:u w:val="single"/>
    </w:rPr>
  </w:style>
  <w:style w:type="character" w:styleId="23">
    <w:name w:val="annotation reference"/>
    <w:semiHidden/>
    <w:uiPriority w:val="0"/>
    <w:rPr>
      <w:sz w:val="21"/>
      <w:szCs w:val="21"/>
    </w:rPr>
  </w:style>
  <w:style w:type="table" w:styleId="25">
    <w:name w:val="Table Grid"/>
    <w:basedOn w:val="24"/>
    <w:uiPriority w:val="0"/>
    <w:pPr>
      <w:widowControl w:val="0"/>
      <w:jc w:val="both"/>
    </w:pPr>
    <w:tblPr>
      <w:tblStyle w:val="2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paragraph" w:customStyle="1" w:styleId="26">
    <w:name w:val="Char"/>
    <w:basedOn w:val="1"/>
    <w:uiPriority w:val="0"/>
    <w:pPr>
      <w:spacing w:line="360" w:lineRule="auto"/>
    </w:pPr>
    <w:rPr>
      <w:rFonts w:ascii="宋体" w:hAnsi="宋体"/>
      <w:sz w:val="22"/>
      <w:szCs w:val="24"/>
    </w:rPr>
  </w:style>
  <w:style w:type="paragraph" w:customStyle="1" w:styleId="27">
    <w:name w:val="正文11"/>
    <w:basedOn w:val="1"/>
    <w:uiPriority w:val="0"/>
    <w:pPr>
      <w:ind w:firstLine="200" w:firstLineChars="200"/>
    </w:pPr>
    <w:rPr>
      <w:sz w:val="28"/>
    </w:rPr>
  </w:style>
  <w:style w:type="paragraph" w:customStyle="1" w:styleId="28">
    <w:name w:val="List Paragraph"/>
    <w:basedOn w:val="1"/>
    <w:qFormat/>
    <w:uiPriority w:val="34"/>
    <w:pPr>
      <w:ind w:firstLine="420" w:firstLineChars="200"/>
    </w:pPr>
  </w:style>
  <w:style w:type="character" w:customStyle="1" w:styleId="29">
    <w:name w:val="纯文本 Char"/>
    <w:link w:val="10"/>
    <w:uiPriority w:val="0"/>
    <w:rPr>
      <w:rFonts w:ascii="宋体" w:hAnsi="Courier New" w:eastAsia="宋体"/>
      <w:kern w:val="2"/>
      <w:sz w:val="21"/>
      <w:lang w:val="en-US" w:eastAsia="zh-CN" w:bidi="ar-SA"/>
    </w:rPr>
  </w:style>
  <w:style w:type="character" w:customStyle="1" w:styleId="30">
    <w:name w:val="标题 3 Char"/>
    <w:link w:val="4"/>
    <w:uiPriority w:val="0"/>
    <w:rPr>
      <w:rFonts w:ascii="黑体" w:hAnsi="宋体" w:eastAsia="黑体"/>
      <w:b/>
      <w:bCs/>
      <w:color w:val="000000"/>
      <w:kern w:val="44"/>
      <w:sz w:val="2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38</Pages>
  <Words>3357</Words>
  <Characters>19135</Characters>
  <Lines>159</Lines>
  <Paragraphs>44</Paragraphs>
  <ScaleCrop>false</ScaleCrop>
  <LinksUpToDate>false</LinksUpToDate>
  <CharactersWithSpaces>0</CharactersWithSpaces>
  <Application>WPS Office_9.1.0.5111_{F1E327BC-269C-435d-A152-05C5408002CA}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2016-04-26T07:43:00Z</dcterms:created>
  <dc:creator>User</dc:creator>
  <cp:lastModifiedBy>Administrator</cp:lastModifiedBy>
  <cp:lastPrinted>2013-09-22T02:39:00Z</cp:lastPrinted>
  <dcterms:modified xsi:type="dcterms:W3CDTF">2016-04-27T03:07:33Z</dcterms:modified>
  <dc:title>招标编号：</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2052-9.1.0.5111</vt:lpwstr>
  </property>
</Properties>
</file>