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440" w:lineRule="exact"/>
        <w:jc w:val="center"/>
        <w:rPr>
          <w:rFonts w:eastAsia="黑体"/>
          <w:sz w:val="36"/>
          <w:szCs w:val="36"/>
        </w:rPr>
      </w:pPr>
      <w:bookmarkStart w:id="62" w:name="_GoBack"/>
      <w:bookmarkEnd w:id="62"/>
      <w:r>
        <w:rPr>
          <w:rFonts w:hint="eastAsia" w:eastAsia="黑体"/>
          <w:sz w:val="36"/>
          <w:szCs w:val="36"/>
        </w:rPr>
        <w:t xml:space="preserve">2015年中国联通吉安市分公司传输管道项目工程施工     </w:t>
      </w:r>
      <w:r>
        <w:rPr>
          <w:rFonts w:eastAsia="黑体"/>
          <w:sz w:val="36"/>
          <w:szCs w:val="36"/>
        </w:rPr>
        <w:t>招标公告</w:t>
      </w:r>
    </w:p>
    <w:p>
      <w:pPr>
        <w:spacing w:line="440" w:lineRule="exact"/>
        <w:rPr>
          <w:rFonts w:eastAsia="黑体"/>
          <w:sz w:val="20"/>
          <w:szCs w:val="20"/>
        </w:rPr>
      </w:pPr>
      <w:r>
        <w:rPr>
          <w:rFonts w:hint="eastAsia" w:ascii="楷体_GB2312" w:hAnsi="宋体" w:eastAsia="楷体_GB2312"/>
          <w:szCs w:val="21"/>
        </w:rPr>
        <w:t xml:space="preserve">     </w:t>
      </w:r>
      <w:r>
        <w:rPr>
          <w:rFonts w:eastAsia="黑体"/>
          <w:sz w:val="29"/>
          <w:szCs w:val="29"/>
        </w:rPr>
        <w:t xml:space="preserve"> </w:t>
      </w:r>
      <w:r>
        <w:rPr>
          <w:rFonts w:eastAsia="黑体"/>
          <w:sz w:val="20"/>
          <w:szCs w:val="20"/>
        </w:rPr>
        <w:t xml:space="preserve">               </w:t>
      </w:r>
    </w:p>
    <w:p>
      <w:pPr>
        <w:pStyle w:val="2"/>
      </w:pPr>
      <w:bookmarkStart w:id="0" w:name="_Toc144974480"/>
      <w:bookmarkStart w:id="1" w:name="_Toc152042288"/>
      <w:bookmarkStart w:id="2" w:name="_Toc152045512"/>
      <w:bookmarkStart w:id="3" w:name="_Toc179632528"/>
      <w:bookmarkStart w:id="4" w:name="_Toc246996158"/>
      <w:bookmarkStart w:id="5" w:name="_Toc246996901"/>
      <w:bookmarkStart w:id="6" w:name="_Toc247085672"/>
      <w:bookmarkStart w:id="7" w:name="_Toc296602402"/>
      <w:bookmarkStart w:id="8" w:name="_Toc419974075"/>
      <w:r>
        <w:t>1. 招标条件</w:t>
      </w:r>
      <w:bookmarkEnd w:id="0"/>
      <w:bookmarkEnd w:id="1"/>
      <w:bookmarkEnd w:id="2"/>
      <w:bookmarkEnd w:id="3"/>
      <w:bookmarkEnd w:id="4"/>
      <w:bookmarkEnd w:id="5"/>
      <w:bookmarkEnd w:id="6"/>
      <w:bookmarkEnd w:id="7"/>
      <w:bookmarkEnd w:id="8"/>
    </w:p>
    <w:p>
      <w:pPr>
        <w:spacing w:line="400" w:lineRule="exact"/>
        <w:rPr>
          <w:szCs w:val="21"/>
        </w:rPr>
      </w:pPr>
      <w:r>
        <w:rPr>
          <w:szCs w:val="21"/>
        </w:rPr>
        <w:t>　　本招标项目</w:t>
      </w:r>
      <w:r>
        <w:rPr>
          <w:rFonts w:hint="eastAsia"/>
          <w:szCs w:val="21"/>
          <w:u w:val="single"/>
        </w:rPr>
        <w:t>2015年中国联通吉安市分公司传输管道项目工程施工</w:t>
      </w:r>
      <w:r>
        <w:rPr>
          <w:szCs w:val="21"/>
        </w:rPr>
        <w:t>（项目名称）已由</w:t>
      </w:r>
      <w:r>
        <w:rPr>
          <w:rFonts w:hint="eastAsia"/>
          <w:szCs w:val="21"/>
          <w:u w:val="single"/>
        </w:rPr>
        <w:t>中国联合网络通信有限公司吉安市分公司</w:t>
      </w:r>
      <w:r>
        <w:rPr>
          <w:szCs w:val="21"/>
        </w:rPr>
        <w:t>（项目审批、核准或备案机关名称）批准建设，项目业主为</w:t>
      </w:r>
      <w:r>
        <w:rPr>
          <w:rFonts w:hint="eastAsia"/>
          <w:szCs w:val="21"/>
          <w:u w:val="single"/>
        </w:rPr>
        <w:t>中国联合网络通信有限公司吉安市分公司</w:t>
      </w:r>
      <w:r>
        <w:rPr>
          <w:szCs w:val="21"/>
        </w:rPr>
        <w:t>，建设资金来自</w:t>
      </w:r>
      <w:r>
        <w:rPr>
          <w:rFonts w:hint="eastAsia"/>
          <w:szCs w:val="21"/>
          <w:u w:val="single"/>
        </w:rPr>
        <w:t>自筹</w:t>
      </w:r>
      <w:r>
        <w:rPr>
          <w:szCs w:val="21"/>
        </w:rPr>
        <w:t>，项目出资比例为</w:t>
      </w:r>
      <w:r>
        <w:rPr>
          <w:rFonts w:hint="eastAsia"/>
          <w:szCs w:val="21"/>
          <w:u w:val="single"/>
        </w:rPr>
        <w:t>100%</w:t>
      </w:r>
      <w:r>
        <w:rPr>
          <w:szCs w:val="21"/>
        </w:rPr>
        <w:t>，招标人为</w:t>
      </w:r>
      <w:r>
        <w:rPr>
          <w:rFonts w:hint="eastAsia"/>
          <w:szCs w:val="21"/>
          <w:u w:val="single"/>
        </w:rPr>
        <w:t>中国联合网络通信有限公司吉安市分公司</w:t>
      </w:r>
      <w:r>
        <w:rPr>
          <w:rFonts w:hint="eastAsia"/>
          <w:szCs w:val="21"/>
        </w:rPr>
        <w:t>，委托招标代理机构为</w:t>
      </w:r>
      <w:r>
        <w:rPr>
          <w:rFonts w:hint="eastAsia"/>
          <w:szCs w:val="21"/>
          <w:u w:val="single"/>
        </w:rPr>
        <w:t>江西省通信产业服务有限公司</w:t>
      </w:r>
      <w:r>
        <w:rPr>
          <w:szCs w:val="21"/>
        </w:rPr>
        <w:t>。项目已具备招标条件，现对该项目</w:t>
      </w:r>
      <w:r>
        <w:rPr>
          <w:rFonts w:hint="eastAsia"/>
          <w:szCs w:val="21"/>
        </w:rPr>
        <w:t>施工</w:t>
      </w:r>
      <w:r>
        <w:rPr>
          <w:szCs w:val="21"/>
        </w:rPr>
        <w:t>进行公开招标。</w:t>
      </w:r>
    </w:p>
    <w:p>
      <w:pPr>
        <w:pStyle w:val="2"/>
      </w:pPr>
      <w:bookmarkStart w:id="9" w:name="_Toc144974481"/>
      <w:bookmarkStart w:id="10" w:name="_Toc152042289"/>
      <w:bookmarkStart w:id="11" w:name="_Toc152045513"/>
      <w:bookmarkStart w:id="12" w:name="_Toc179632529"/>
      <w:bookmarkStart w:id="13" w:name="_Toc246996159"/>
      <w:bookmarkStart w:id="14" w:name="_Toc246996902"/>
      <w:bookmarkStart w:id="15" w:name="_Toc247085673"/>
      <w:bookmarkStart w:id="16" w:name="_Toc296602403"/>
      <w:bookmarkStart w:id="17" w:name="_Toc419974076"/>
      <w:r>
        <w:t>2. 项目概况与招标范围</w:t>
      </w:r>
      <w:bookmarkEnd w:id="9"/>
      <w:bookmarkEnd w:id="10"/>
      <w:bookmarkEnd w:id="11"/>
      <w:bookmarkEnd w:id="12"/>
      <w:bookmarkEnd w:id="13"/>
      <w:bookmarkEnd w:id="14"/>
      <w:bookmarkEnd w:id="15"/>
      <w:bookmarkEnd w:id="16"/>
      <w:bookmarkEnd w:id="17"/>
    </w:p>
    <w:p>
      <w:pPr>
        <w:spacing w:line="360" w:lineRule="exact"/>
        <w:rPr>
          <w:rFonts w:ascii="宋体" w:hAnsi="宋体"/>
          <w:szCs w:val="21"/>
        </w:rPr>
      </w:pPr>
      <w:r>
        <w:rPr>
          <w:rFonts w:hint="eastAsia"/>
          <w:szCs w:val="21"/>
        </w:rPr>
        <w:t xml:space="preserve">  </w:t>
      </w:r>
      <w:r>
        <w:rPr>
          <w:rFonts w:hint="eastAsia" w:ascii="宋体" w:hAnsi="宋体"/>
          <w:szCs w:val="21"/>
        </w:rPr>
        <w:t xml:space="preserve">  招标编号：</w:t>
      </w:r>
      <w:r>
        <w:rPr>
          <w:rFonts w:ascii="宋体" w:hAnsi="宋体"/>
          <w:szCs w:val="21"/>
          <w:u w:val="single"/>
        </w:rPr>
        <w:t>JTF201505010</w:t>
      </w:r>
      <w:r>
        <w:rPr>
          <w:rFonts w:hint="eastAsia" w:ascii="宋体" w:hAnsi="宋体"/>
          <w:szCs w:val="21"/>
        </w:rPr>
        <w:t>。</w:t>
      </w:r>
    </w:p>
    <w:p>
      <w:pPr>
        <w:spacing w:line="360" w:lineRule="exact"/>
        <w:rPr>
          <w:rFonts w:ascii="宋体" w:hAnsi="宋体"/>
          <w:szCs w:val="21"/>
        </w:rPr>
      </w:pPr>
      <w:r>
        <w:rPr>
          <w:rFonts w:hint="eastAsia" w:ascii="宋体" w:hAnsi="宋体"/>
          <w:szCs w:val="21"/>
        </w:rPr>
        <w:t xml:space="preserve">    </w:t>
      </w:r>
      <w:r>
        <w:rPr>
          <w:rFonts w:ascii="宋体" w:hAnsi="宋体"/>
          <w:szCs w:val="21"/>
        </w:rPr>
        <w:t>招标项目的建设地点</w:t>
      </w:r>
      <w:r>
        <w:rPr>
          <w:rFonts w:hint="eastAsia" w:ascii="宋体" w:hAnsi="宋体"/>
          <w:szCs w:val="21"/>
        </w:rPr>
        <w:t>：</w:t>
      </w:r>
      <w:r>
        <w:rPr>
          <w:rFonts w:hint="eastAsia" w:ascii="宋体" w:hAnsi="宋体"/>
          <w:szCs w:val="21"/>
          <w:u w:val="single"/>
        </w:rPr>
        <w:t>江西省吉安市各县区</w:t>
      </w:r>
      <w:r>
        <w:rPr>
          <w:rFonts w:hint="eastAsia" w:ascii="宋体" w:hAnsi="宋体"/>
          <w:szCs w:val="21"/>
        </w:rPr>
        <w:t>。</w:t>
      </w:r>
    </w:p>
    <w:p>
      <w:pPr>
        <w:ind w:firstLine="420" w:firstLineChars="200"/>
        <w:rPr>
          <w:rFonts w:ascii="宋体" w:hAnsi="宋体" w:cs="宋体"/>
          <w:bCs/>
          <w:kern w:val="0"/>
          <w:szCs w:val="21"/>
        </w:rPr>
      </w:pPr>
      <w:r>
        <w:rPr>
          <w:rFonts w:hint="eastAsia" w:ascii="宋体" w:hAnsi="宋体" w:cs="宋体"/>
          <w:bCs/>
          <w:kern w:val="0"/>
          <w:szCs w:val="21"/>
        </w:rPr>
        <w:t>项目预算：人民币240万元。</w:t>
      </w:r>
    </w:p>
    <w:p>
      <w:pPr>
        <w:ind w:firstLine="420" w:firstLineChars="200"/>
        <w:rPr>
          <w:rFonts w:ascii="宋体" w:hAnsi="宋体" w:cs="宋体"/>
          <w:bCs/>
          <w:kern w:val="0"/>
          <w:szCs w:val="21"/>
        </w:rPr>
      </w:pPr>
      <w:r>
        <w:rPr>
          <w:rFonts w:hint="eastAsia" w:ascii="宋体" w:hAnsi="宋体" w:cs="宋体"/>
          <w:bCs/>
          <w:kern w:val="0"/>
          <w:szCs w:val="21"/>
        </w:rPr>
        <w:t>招标预估规模为：2015年拟新建管道51公里。</w:t>
      </w:r>
    </w:p>
    <w:p>
      <w:pPr>
        <w:ind w:firstLine="420" w:firstLineChars="199"/>
        <w:rPr>
          <w:rFonts w:ascii="宋体" w:hAnsi="宋体"/>
          <w:b/>
          <w:szCs w:val="21"/>
        </w:rPr>
      </w:pPr>
      <w:r>
        <w:rPr>
          <w:rFonts w:hint="eastAsia" w:ascii="宋体" w:hAnsi="宋体"/>
          <w:b/>
          <w:szCs w:val="21"/>
        </w:rPr>
        <w:t>本次采购清单及最高限价如下：</w:t>
      </w:r>
    </w:p>
    <w:tbl>
      <w:tblPr>
        <w:tblStyle w:val="6"/>
        <w:tblW w:w="7230" w:type="dxa"/>
        <w:tblInd w:w="9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Pr>
      <w:tblGrid>
        <w:gridCol w:w="993"/>
        <w:gridCol w:w="1842"/>
        <w:gridCol w:w="993"/>
        <w:gridCol w:w="3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PrEx>
        <w:trPr>
          <w:trHeight w:val="205" w:hRule="atLeast"/>
        </w:trPr>
        <w:tc>
          <w:tcPr>
            <w:tcW w:w="993" w:type="dxa"/>
            <w:vAlign w:val="center"/>
          </w:tcPr>
          <w:p>
            <w:pPr>
              <w:widowControl/>
              <w:spacing w:line="320" w:lineRule="exact"/>
              <w:jc w:val="center"/>
              <w:rPr>
                <w:rFonts w:ascii="宋体" w:hAnsi="宋体"/>
                <w:b/>
                <w:color w:val="000000"/>
                <w:szCs w:val="21"/>
              </w:rPr>
            </w:pPr>
            <w:r>
              <w:rPr>
                <w:rFonts w:ascii="宋体" w:hAnsi="宋体"/>
                <w:b/>
                <w:color w:val="000000"/>
                <w:szCs w:val="21"/>
              </w:rPr>
              <w:t>序号</w:t>
            </w:r>
          </w:p>
        </w:tc>
        <w:tc>
          <w:tcPr>
            <w:tcW w:w="1842" w:type="dxa"/>
            <w:vAlign w:val="center"/>
          </w:tcPr>
          <w:p>
            <w:pPr>
              <w:widowControl/>
              <w:spacing w:line="320" w:lineRule="exact"/>
              <w:jc w:val="center"/>
              <w:rPr>
                <w:rFonts w:ascii="宋体" w:hAnsi="宋体"/>
                <w:b/>
                <w:color w:val="000000"/>
                <w:szCs w:val="21"/>
              </w:rPr>
            </w:pPr>
            <w:r>
              <w:rPr>
                <w:rFonts w:hint="eastAsia" w:ascii="宋体" w:hAnsi="宋体"/>
                <w:b/>
                <w:color w:val="000000"/>
                <w:szCs w:val="21"/>
              </w:rPr>
              <w:t>施工项目</w:t>
            </w:r>
          </w:p>
        </w:tc>
        <w:tc>
          <w:tcPr>
            <w:tcW w:w="993" w:type="dxa"/>
            <w:vAlign w:val="center"/>
          </w:tcPr>
          <w:p>
            <w:pPr>
              <w:widowControl/>
              <w:spacing w:line="320" w:lineRule="exact"/>
              <w:jc w:val="center"/>
              <w:rPr>
                <w:rFonts w:ascii="宋体" w:hAnsi="宋体"/>
                <w:b/>
                <w:color w:val="000000"/>
                <w:szCs w:val="21"/>
              </w:rPr>
            </w:pPr>
            <w:r>
              <w:rPr>
                <w:rFonts w:hint="eastAsia" w:ascii="宋体" w:hAnsi="宋体"/>
                <w:b/>
                <w:color w:val="000000"/>
                <w:szCs w:val="21"/>
              </w:rPr>
              <w:t>单位</w:t>
            </w:r>
          </w:p>
        </w:tc>
        <w:tc>
          <w:tcPr>
            <w:tcW w:w="3402" w:type="dxa"/>
            <w:vAlign w:val="center"/>
          </w:tcPr>
          <w:p>
            <w:pPr>
              <w:widowControl/>
              <w:spacing w:line="320" w:lineRule="exact"/>
              <w:jc w:val="center"/>
              <w:rPr>
                <w:rFonts w:ascii="宋体" w:hAnsi="宋体"/>
                <w:b/>
                <w:color w:val="000000"/>
                <w:szCs w:val="21"/>
              </w:rPr>
            </w:pPr>
            <w:r>
              <w:rPr>
                <w:rFonts w:ascii="宋体" w:hAnsi="宋体"/>
                <w:b/>
                <w:color w:val="000000"/>
                <w:szCs w:val="21"/>
              </w:rPr>
              <w:t>投标</w:t>
            </w:r>
            <w:r>
              <w:rPr>
                <w:rFonts w:hint="eastAsia" w:ascii="宋体" w:hAnsi="宋体"/>
                <w:b/>
                <w:color w:val="000000"/>
                <w:szCs w:val="21"/>
              </w:rPr>
              <w:t>最高限</w:t>
            </w:r>
            <w:r>
              <w:rPr>
                <w:rFonts w:ascii="宋体" w:hAnsi="宋体"/>
                <w:b/>
                <w:color w:val="000000"/>
                <w:szCs w:val="21"/>
              </w:rPr>
              <w:t>价</w:t>
            </w:r>
            <w:r>
              <w:rPr>
                <w:rFonts w:hint="eastAsia" w:ascii="宋体" w:hAnsi="宋体"/>
                <w:b/>
                <w:color w:val="000000"/>
                <w:szCs w:val="21"/>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PrEx>
        <w:trPr>
          <w:trHeight w:val="309" w:hRule="atLeast"/>
        </w:trPr>
        <w:tc>
          <w:tcPr>
            <w:tcW w:w="993" w:type="dxa"/>
            <w:vAlign w:val="center"/>
          </w:tcPr>
          <w:p>
            <w:pPr>
              <w:widowControl/>
              <w:spacing w:line="360" w:lineRule="exact"/>
              <w:jc w:val="center"/>
              <w:rPr>
                <w:rFonts w:ascii="Calibri" w:hAnsi="Calibri"/>
                <w:color w:val="000000"/>
                <w:szCs w:val="21"/>
              </w:rPr>
            </w:pPr>
            <w:r>
              <w:rPr>
                <w:rFonts w:hint="eastAsia" w:ascii="Calibri" w:hAnsi="Calibri"/>
                <w:color w:val="000000"/>
                <w:szCs w:val="21"/>
              </w:rPr>
              <w:t>1</w:t>
            </w:r>
          </w:p>
        </w:tc>
        <w:tc>
          <w:tcPr>
            <w:tcW w:w="1842" w:type="dxa"/>
            <w:vAlign w:val="center"/>
          </w:tcPr>
          <w:p>
            <w:pPr>
              <w:widowControl/>
              <w:spacing w:line="360" w:lineRule="exact"/>
              <w:jc w:val="center"/>
              <w:rPr>
                <w:rFonts w:ascii="宋体" w:hAnsi="宋体"/>
                <w:color w:val="000000"/>
                <w:szCs w:val="21"/>
              </w:rPr>
            </w:pPr>
            <w:r>
              <w:rPr>
                <w:rFonts w:hint="eastAsia" w:ascii="宋体" w:hAnsi="宋体"/>
                <w:color w:val="000000"/>
                <w:szCs w:val="21"/>
              </w:rPr>
              <w:t>新建管道（新城区）</w:t>
            </w:r>
          </w:p>
        </w:tc>
        <w:tc>
          <w:tcPr>
            <w:tcW w:w="993" w:type="dxa"/>
            <w:vAlign w:val="center"/>
          </w:tcPr>
          <w:p>
            <w:pPr>
              <w:widowControl/>
              <w:spacing w:line="360" w:lineRule="exact"/>
              <w:jc w:val="center"/>
              <w:rPr>
                <w:rFonts w:ascii="宋体" w:hAnsi="宋体"/>
                <w:color w:val="000000"/>
                <w:szCs w:val="21"/>
              </w:rPr>
            </w:pPr>
            <w:r>
              <w:rPr>
                <w:rFonts w:hint="eastAsia" w:ascii="宋体" w:hAnsi="宋体"/>
                <w:color w:val="000000"/>
                <w:szCs w:val="21"/>
              </w:rPr>
              <w:t>公里</w:t>
            </w:r>
          </w:p>
        </w:tc>
        <w:tc>
          <w:tcPr>
            <w:tcW w:w="3402" w:type="dxa"/>
            <w:vAlign w:val="center"/>
          </w:tcPr>
          <w:p>
            <w:pPr>
              <w:widowControl/>
              <w:spacing w:line="360" w:lineRule="exact"/>
              <w:jc w:val="center"/>
              <w:rPr>
                <w:rFonts w:ascii="宋体" w:hAnsi="宋体"/>
                <w:color w:val="000000"/>
                <w:sz w:val="24"/>
              </w:rPr>
            </w:pPr>
            <w:r>
              <w:rPr>
                <w:rFonts w:hint="eastAsia" w:ascii="宋体" w:hAnsi="宋体"/>
                <w:color w:val="000000"/>
                <w:sz w:val="24"/>
              </w:rPr>
              <w:t>45000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PrEx>
        <w:trPr>
          <w:trHeight w:val="70" w:hRule="atLeast"/>
        </w:trPr>
        <w:tc>
          <w:tcPr>
            <w:tcW w:w="993" w:type="dxa"/>
            <w:vAlign w:val="center"/>
          </w:tcPr>
          <w:p>
            <w:pPr>
              <w:widowControl/>
              <w:spacing w:line="360" w:lineRule="exact"/>
              <w:jc w:val="center"/>
              <w:rPr>
                <w:rFonts w:ascii="Calibri" w:hAnsi="Calibri"/>
                <w:color w:val="000000"/>
                <w:szCs w:val="21"/>
              </w:rPr>
            </w:pPr>
            <w:r>
              <w:rPr>
                <w:rFonts w:hint="eastAsia" w:ascii="Calibri" w:hAnsi="Calibri"/>
                <w:color w:val="000000"/>
                <w:szCs w:val="21"/>
              </w:rPr>
              <w:t>2</w:t>
            </w:r>
          </w:p>
        </w:tc>
        <w:tc>
          <w:tcPr>
            <w:tcW w:w="1842" w:type="dxa"/>
            <w:vAlign w:val="center"/>
          </w:tcPr>
          <w:p>
            <w:pPr>
              <w:pStyle w:val="3"/>
              <w:widowControl/>
              <w:spacing w:line="360" w:lineRule="exact"/>
              <w:jc w:val="center"/>
              <w:rPr>
                <w:rFonts w:ascii="宋体" w:hAnsi="宋体"/>
                <w:color w:val="000000"/>
                <w:sz w:val="21"/>
                <w:szCs w:val="21"/>
              </w:rPr>
            </w:pPr>
            <w:r>
              <w:rPr>
                <w:rFonts w:hint="eastAsia" w:ascii="宋体" w:hAnsi="宋体"/>
                <w:color w:val="000000"/>
                <w:sz w:val="21"/>
                <w:szCs w:val="21"/>
              </w:rPr>
              <w:t>新建管道（老城区）</w:t>
            </w:r>
          </w:p>
        </w:tc>
        <w:tc>
          <w:tcPr>
            <w:tcW w:w="993" w:type="dxa"/>
            <w:vAlign w:val="center"/>
          </w:tcPr>
          <w:p>
            <w:pPr>
              <w:pStyle w:val="3"/>
              <w:widowControl/>
              <w:spacing w:line="360" w:lineRule="exact"/>
              <w:jc w:val="center"/>
              <w:rPr>
                <w:rFonts w:ascii="宋体" w:hAnsi="宋体"/>
                <w:color w:val="000000"/>
                <w:sz w:val="21"/>
                <w:szCs w:val="21"/>
              </w:rPr>
            </w:pPr>
            <w:r>
              <w:rPr>
                <w:rFonts w:hint="eastAsia" w:ascii="宋体" w:hAnsi="宋体"/>
                <w:color w:val="000000"/>
                <w:sz w:val="21"/>
                <w:szCs w:val="21"/>
              </w:rPr>
              <w:t>公里</w:t>
            </w:r>
          </w:p>
        </w:tc>
        <w:tc>
          <w:tcPr>
            <w:tcW w:w="3402" w:type="dxa"/>
            <w:vAlign w:val="center"/>
          </w:tcPr>
          <w:p>
            <w:pPr>
              <w:pStyle w:val="3"/>
              <w:spacing w:line="360" w:lineRule="exact"/>
              <w:jc w:val="center"/>
              <w:rPr>
                <w:rFonts w:ascii="宋体" w:hAnsi="宋体"/>
                <w:color w:val="000000"/>
                <w:sz w:val="24"/>
                <w:szCs w:val="24"/>
              </w:rPr>
            </w:pPr>
            <w:r>
              <w:rPr>
                <w:rFonts w:hint="eastAsia" w:ascii="宋体" w:hAnsi="宋体"/>
                <w:color w:val="000000"/>
                <w:sz w:val="24"/>
                <w:szCs w:val="24"/>
              </w:rPr>
              <w:t>55000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PrEx>
        <w:trPr>
          <w:trHeight w:val="205" w:hRule="atLeast"/>
        </w:trPr>
        <w:tc>
          <w:tcPr>
            <w:tcW w:w="993" w:type="dxa"/>
            <w:vAlign w:val="center"/>
          </w:tcPr>
          <w:p>
            <w:pPr>
              <w:widowControl/>
              <w:spacing w:line="360" w:lineRule="exact"/>
              <w:jc w:val="center"/>
              <w:rPr>
                <w:rFonts w:ascii="Calibri" w:hAnsi="Calibri"/>
                <w:color w:val="000000"/>
                <w:szCs w:val="21"/>
              </w:rPr>
            </w:pPr>
            <w:r>
              <w:rPr>
                <w:rFonts w:hint="eastAsia" w:ascii="Calibri" w:hAnsi="Calibri"/>
                <w:color w:val="000000"/>
                <w:szCs w:val="21"/>
              </w:rPr>
              <w:t>3</w:t>
            </w:r>
          </w:p>
        </w:tc>
        <w:tc>
          <w:tcPr>
            <w:tcW w:w="1842" w:type="dxa"/>
            <w:vAlign w:val="center"/>
          </w:tcPr>
          <w:p>
            <w:pPr>
              <w:pStyle w:val="3"/>
              <w:widowControl/>
              <w:spacing w:line="360" w:lineRule="exact"/>
              <w:jc w:val="center"/>
              <w:rPr>
                <w:rFonts w:ascii="宋体" w:hAnsi="宋体"/>
                <w:color w:val="000000"/>
                <w:sz w:val="21"/>
                <w:szCs w:val="21"/>
              </w:rPr>
            </w:pPr>
            <w:r>
              <w:rPr>
                <w:rFonts w:hint="eastAsia" w:ascii="宋体" w:hAnsi="宋体"/>
                <w:color w:val="000000"/>
                <w:sz w:val="21"/>
                <w:szCs w:val="21"/>
              </w:rPr>
              <w:t>顶管</w:t>
            </w:r>
          </w:p>
        </w:tc>
        <w:tc>
          <w:tcPr>
            <w:tcW w:w="993" w:type="dxa"/>
            <w:vAlign w:val="center"/>
          </w:tcPr>
          <w:p>
            <w:pPr>
              <w:pStyle w:val="3"/>
              <w:widowControl/>
              <w:spacing w:line="360" w:lineRule="exact"/>
              <w:jc w:val="center"/>
              <w:rPr>
                <w:rFonts w:ascii="宋体" w:hAnsi="宋体"/>
                <w:color w:val="000000"/>
                <w:sz w:val="21"/>
                <w:szCs w:val="21"/>
              </w:rPr>
            </w:pPr>
            <w:r>
              <w:rPr>
                <w:rFonts w:hint="eastAsia" w:ascii="宋体" w:hAnsi="宋体"/>
                <w:color w:val="000000"/>
                <w:sz w:val="21"/>
                <w:szCs w:val="21"/>
              </w:rPr>
              <w:t>米</w:t>
            </w:r>
          </w:p>
        </w:tc>
        <w:tc>
          <w:tcPr>
            <w:tcW w:w="3402" w:type="dxa"/>
            <w:vAlign w:val="center"/>
          </w:tcPr>
          <w:p>
            <w:pPr>
              <w:pStyle w:val="3"/>
              <w:spacing w:line="360" w:lineRule="exact"/>
              <w:jc w:val="center"/>
              <w:rPr>
                <w:rFonts w:ascii="宋体" w:hAnsi="宋体"/>
                <w:color w:val="000000"/>
                <w:sz w:val="24"/>
                <w:szCs w:val="24"/>
              </w:rPr>
            </w:pPr>
            <w:r>
              <w:rPr>
                <w:rFonts w:hint="eastAsia" w:ascii="宋体" w:hAnsi="宋体"/>
                <w:color w:val="000000"/>
                <w:sz w:val="24"/>
                <w:szCs w:val="24"/>
              </w:rPr>
              <w:t>200</w:t>
            </w:r>
          </w:p>
        </w:tc>
      </w:tr>
    </w:tbl>
    <w:p>
      <w:pPr>
        <w:widowControl/>
        <w:ind w:firstLine="420" w:firstLineChars="200"/>
        <w:jc w:val="left"/>
        <w:rPr>
          <w:rFonts w:ascii="宋体" w:hAnsi="宋体" w:cs="宋体"/>
          <w:bCs/>
          <w:kern w:val="0"/>
          <w:szCs w:val="21"/>
        </w:rPr>
      </w:pPr>
      <w:r>
        <w:rPr>
          <w:rFonts w:hint="eastAsia" w:ascii="宋体" w:hAnsi="宋体" w:cs="宋体"/>
          <w:bCs/>
          <w:kern w:val="0"/>
          <w:szCs w:val="21"/>
        </w:rPr>
        <w:t>采用包工包料的工程承包方式，含工程施工协调费用、全部的开挖、施工手续、城管、环保、行政审批及不可预见税、费。</w:t>
      </w:r>
    </w:p>
    <w:p>
      <w:pPr>
        <w:spacing w:line="400" w:lineRule="exact"/>
        <w:ind w:firstLine="420" w:firstLineChars="200"/>
        <w:rPr>
          <w:szCs w:val="21"/>
        </w:rPr>
      </w:pPr>
      <w:r>
        <w:rPr>
          <w:rFonts w:hint="eastAsia" w:ascii="宋体" w:hAnsi="宋体" w:cs="宋体"/>
          <w:bCs/>
          <w:kern w:val="0"/>
          <w:szCs w:val="21"/>
        </w:rPr>
        <w:t>中选后必须以自有队伍进行施工，不得挂靠，否则采购人有权终止合同并由承包方承担违约责任</w:t>
      </w:r>
      <w:r>
        <w:rPr>
          <w:rFonts w:ascii="宋体" w:hAnsi="宋体" w:cs="宋体"/>
          <w:bCs/>
          <w:kern w:val="0"/>
          <w:szCs w:val="21"/>
        </w:rPr>
        <w:t>[</w:t>
      </w:r>
      <w:r>
        <w:rPr>
          <w:rFonts w:hint="eastAsia" w:ascii="宋体" w:hAnsi="宋体" w:cs="宋体"/>
          <w:bCs/>
          <w:kern w:val="0"/>
          <w:szCs w:val="21"/>
        </w:rPr>
        <w:t>按《建筑工程施工转包违法分包等违法行为认定查处管理办法（试行）》的规定进行认定</w:t>
      </w:r>
      <w:r>
        <w:rPr>
          <w:rFonts w:ascii="宋体" w:hAnsi="宋体" w:cs="宋体"/>
          <w:bCs/>
          <w:kern w:val="0"/>
          <w:szCs w:val="21"/>
        </w:rPr>
        <w:t>]</w:t>
      </w:r>
      <w:r>
        <w:rPr>
          <w:rFonts w:hint="eastAsia" w:ascii="宋体" w:hAnsi="宋体" w:cs="宋体"/>
          <w:bCs/>
          <w:kern w:val="0"/>
          <w:szCs w:val="21"/>
        </w:rPr>
        <w:t>。</w:t>
      </w:r>
    </w:p>
    <w:p>
      <w:pPr>
        <w:pStyle w:val="2"/>
      </w:pPr>
      <w:bookmarkStart w:id="18" w:name="_Toc144974482"/>
      <w:bookmarkStart w:id="19" w:name="_Toc152042290"/>
      <w:bookmarkStart w:id="20" w:name="_Toc152045514"/>
      <w:bookmarkStart w:id="21" w:name="_Toc179632530"/>
      <w:bookmarkStart w:id="22" w:name="_Toc246996160"/>
      <w:bookmarkStart w:id="23" w:name="_Toc246996903"/>
      <w:bookmarkStart w:id="24" w:name="_Toc247085674"/>
      <w:bookmarkStart w:id="25" w:name="_Toc296602404"/>
      <w:bookmarkStart w:id="26" w:name="_Toc419974077"/>
      <w:r>
        <w:t>3. 投标人资格要求</w:t>
      </w:r>
      <w:bookmarkEnd w:id="18"/>
      <w:bookmarkEnd w:id="19"/>
      <w:bookmarkEnd w:id="20"/>
      <w:bookmarkEnd w:id="21"/>
      <w:bookmarkEnd w:id="22"/>
      <w:bookmarkEnd w:id="23"/>
      <w:bookmarkEnd w:id="24"/>
      <w:bookmarkEnd w:id="25"/>
      <w:bookmarkEnd w:id="26"/>
    </w:p>
    <w:p>
      <w:pPr>
        <w:spacing w:line="400" w:lineRule="exact"/>
        <w:ind w:firstLine="420" w:firstLineChars="200"/>
        <w:rPr>
          <w:rFonts w:ascii="宋体" w:hAnsi="宋体" w:cs="宋体"/>
          <w:bCs/>
          <w:kern w:val="0"/>
          <w:szCs w:val="21"/>
        </w:rPr>
      </w:pPr>
      <w:bookmarkStart w:id="27" w:name="_Toc144974483"/>
      <w:bookmarkStart w:id="28" w:name="_Toc152042291"/>
      <w:bookmarkStart w:id="29" w:name="_Toc152045515"/>
      <w:bookmarkStart w:id="30" w:name="_Toc179632531"/>
      <w:bookmarkStart w:id="31" w:name="_Toc246996161"/>
      <w:bookmarkStart w:id="32" w:name="_Toc246996904"/>
      <w:bookmarkStart w:id="33" w:name="_Toc247085675"/>
      <w:bookmarkStart w:id="34" w:name="_Toc296602405"/>
      <w:r>
        <w:rPr>
          <w:rFonts w:hint="eastAsia" w:ascii="宋体" w:hAnsi="宋体" w:cs="宋体"/>
          <w:bCs/>
          <w:kern w:val="0"/>
          <w:szCs w:val="21"/>
        </w:rPr>
        <w:t>采用资格后审，合格制。投标人资格条件为：</w:t>
      </w:r>
    </w:p>
    <w:p>
      <w:pPr>
        <w:spacing w:line="400" w:lineRule="exact"/>
        <w:ind w:firstLine="420" w:firstLineChars="200"/>
        <w:rPr>
          <w:rFonts w:ascii="宋体" w:hAnsi="宋体" w:cs="宋体"/>
          <w:bCs/>
          <w:kern w:val="0"/>
          <w:szCs w:val="21"/>
        </w:rPr>
      </w:pPr>
      <w:r>
        <w:rPr>
          <w:rFonts w:hint="eastAsia" w:ascii="宋体" w:hAnsi="宋体" w:cs="宋体"/>
          <w:bCs/>
          <w:kern w:val="0"/>
          <w:szCs w:val="21"/>
        </w:rPr>
        <w:t>3.1独立法人，本招标公告发布日之前的注册资本50万元人民币或以上，</w:t>
      </w:r>
      <w:r>
        <w:rPr>
          <w:rFonts w:ascii="宋体" w:hAnsi="宋体" w:cs="宋体"/>
          <w:bCs/>
          <w:kern w:val="0"/>
          <w:szCs w:val="21"/>
        </w:rPr>
        <w:t>具备</w:t>
      </w:r>
      <w:r>
        <w:rPr>
          <w:rFonts w:hint="eastAsia" w:ascii="宋体" w:hAnsi="宋体" w:cs="宋体"/>
          <w:bCs/>
          <w:kern w:val="0"/>
          <w:szCs w:val="21"/>
        </w:rPr>
        <w:t>通信工程施工总承包叁级及以上</w:t>
      </w:r>
      <w:r>
        <w:rPr>
          <w:rFonts w:ascii="宋体" w:hAnsi="宋体" w:cs="宋体"/>
          <w:bCs/>
          <w:kern w:val="0"/>
          <w:szCs w:val="21"/>
        </w:rPr>
        <w:t>资质</w:t>
      </w:r>
      <w:r>
        <w:rPr>
          <w:rFonts w:hint="eastAsia" w:ascii="宋体" w:hAnsi="宋体" w:cs="宋体"/>
          <w:bCs/>
          <w:kern w:val="0"/>
          <w:szCs w:val="21"/>
        </w:rPr>
        <w:t>、安全生产许可证。</w:t>
      </w:r>
    </w:p>
    <w:p>
      <w:pPr>
        <w:spacing w:line="400" w:lineRule="exact"/>
        <w:ind w:firstLine="420" w:firstLineChars="200"/>
        <w:rPr>
          <w:rFonts w:ascii="宋体" w:hAnsi="宋体" w:cs="宋体"/>
          <w:bCs/>
          <w:kern w:val="0"/>
          <w:szCs w:val="21"/>
        </w:rPr>
      </w:pPr>
      <w:r>
        <w:rPr>
          <w:rFonts w:hint="eastAsia" w:ascii="宋体" w:hAnsi="宋体" w:cs="宋体"/>
          <w:bCs/>
          <w:kern w:val="0"/>
          <w:szCs w:val="21"/>
        </w:rPr>
        <w:t>3.2若投标人注册地省份已实行营改增，投标人须为增值税一般纳税人，能开具增值税专用发票（提供税务登记证须加盖国税部门“增值税一般纳税人”章或国税部门出具的增值税一般纳税人证明材料或已开具的增值税专用发票）；若投标人注册地省份尚未实行营改增，投标人须承诺注册地省份实行营改增后七个工作日内改成增值税一般纳税人，并开具增值税专用发票。</w:t>
      </w:r>
    </w:p>
    <w:p>
      <w:pPr>
        <w:spacing w:line="400" w:lineRule="exact"/>
        <w:ind w:firstLine="420" w:firstLineChars="200"/>
        <w:rPr>
          <w:rFonts w:ascii="宋体" w:hAnsi="宋体" w:cs="宋体"/>
          <w:bCs/>
          <w:kern w:val="0"/>
          <w:szCs w:val="21"/>
        </w:rPr>
      </w:pPr>
      <w:r>
        <w:rPr>
          <w:rFonts w:hint="eastAsia" w:ascii="宋体" w:hAnsi="宋体" w:cs="宋体"/>
          <w:bCs/>
          <w:kern w:val="0"/>
          <w:szCs w:val="21"/>
        </w:rPr>
        <w:t>3.3无招标投标法、招标投标法实施条例、工程建设项目施工招标投标办法等相关法律法规、规章规定的其他不得投标的情形。</w:t>
      </w:r>
    </w:p>
    <w:p>
      <w:pPr>
        <w:spacing w:line="400" w:lineRule="exact"/>
        <w:ind w:firstLine="420" w:firstLineChars="200"/>
        <w:rPr>
          <w:rFonts w:ascii="宋体" w:hAnsi="宋体" w:cs="宋体"/>
          <w:bCs/>
          <w:kern w:val="0"/>
          <w:szCs w:val="21"/>
        </w:rPr>
      </w:pPr>
      <w:r>
        <w:rPr>
          <w:rFonts w:hint="eastAsia" w:ascii="宋体" w:hAnsi="宋体" w:cs="宋体"/>
          <w:bCs/>
          <w:kern w:val="0"/>
          <w:szCs w:val="21"/>
        </w:rPr>
        <w:t>3.4本项目不接受联合体投标。</w:t>
      </w:r>
    </w:p>
    <w:p>
      <w:pPr>
        <w:pStyle w:val="2"/>
      </w:pPr>
      <w:bookmarkStart w:id="35" w:name="_Toc419974078"/>
      <w:r>
        <w:t>4. 招标文件的获取</w:t>
      </w:r>
      <w:bookmarkEnd w:id="27"/>
      <w:bookmarkEnd w:id="28"/>
      <w:bookmarkEnd w:id="29"/>
      <w:bookmarkEnd w:id="30"/>
      <w:bookmarkEnd w:id="31"/>
      <w:bookmarkEnd w:id="32"/>
      <w:bookmarkEnd w:id="33"/>
      <w:bookmarkEnd w:id="34"/>
      <w:bookmarkEnd w:id="35"/>
    </w:p>
    <w:p>
      <w:pPr>
        <w:tabs>
          <w:tab w:val="left" w:pos="360"/>
        </w:tabs>
        <w:spacing w:line="400" w:lineRule="exact"/>
        <w:ind w:firstLine="420" w:firstLineChars="200"/>
        <w:rPr>
          <w:szCs w:val="21"/>
        </w:rPr>
      </w:pPr>
      <w:r>
        <w:rPr>
          <w:szCs w:val="21"/>
        </w:rPr>
        <w:t>4.1</w:t>
      </w:r>
      <w:r>
        <w:rPr>
          <w:rFonts w:hint="eastAsia"/>
          <w:szCs w:val="21"/>
        </w:rPr>
        <w:t xml:space="preserve"> </w:t>
      </w:r>
      <w:r>
        <w:rPr>
          <w:szCs w:val="21"/>
        </w:rPr>
        <w:t>凡有意参加投标者，请于</w:t>
      </w:r>
      <w:r>
        <w:rPr>
          <w:rFonts w:hint="eastAsia"/>
          <w:szCs w:val="21"/>
          <w:u w:val="single"/>
        </w:rPr>
        <w:t>2015</w:t>
      </w:r>
      <w:r>
        <w:rPr>
          <w:szCs w:val="21"/>
        </w:rPr>
        <w:t xml:space="preserve"> 年</w:t>
      </w:r>
      <w:r>
        <w:rPr>
          <w:rFonts w:hint="eastAsia"/>
          <w:szCs w:val="21"/>
          <w:u w:val="single"/>
        </w:rPr>
        <w:t>6</w:t>
      </w:r>
      <w:r>
        <w:rPr>
          <w:szCs w:val="21"/>
        </w:rPr>
        <w:t>月</w:t>
      </w:r>
      <w:r>
        <w:rPr>
          <w:rFonts w:hint="eastAsia"/>
          <w:szCs w:val="21"/>
          <w:u w:val="single"/>
        </w:rPr>
        <w:t>3</w:t>
      </w:r>
      <w:r>
        <w:rPr>
          <w:szCs w:val="21"/>
        </w:rPr>
        <w:t>日至</w:t>
      </w:r>
      <w:r>
        <w:rPr>
          <w:rFonts w:hint="eastAsia"/>
          <w:szCs w:val="21"/>
          <w:u w:val="single"/>
        </w:rPr>
        <w:t>2015年6月8</w:t>
      </w:r>
      <w:r>
        <w:rPr>
          <w:szCs w:val="21"/>
        </w:rPr>
        <w:t>日</w:t>
      </w:r>
      <w:r>
        <w:rPr>
          <w:rFonts w:hint="eastAsia" w:ascii="宋体" w:hAnsi="宋体"/>
          <w:szCs w:val="21"/>
        </w:rPr>
        <w:t>（法</w:t>
      </w:r>
      <w:r>
        <w:rPr>
          <w:rFonts w:hint="eastAsia" w:ascii="宋体" w:hAnsi="宋体"/>
          <w:color w:val="000000"/>
          <w:szCs w:val="21"/>
        </w:rPr>
        <w:t>定工休日、法定节假日除外）</w:t>
      </w:r>
      <w:r>
        <w:rPr>
          <w:szCs w:val="21"/>
        </w:rPr>
        <w:t>，每日上午</w:t>
      </w:r>
      <w:r>
        <w:rPr>
          <w:rFonts w:hint="eastAsia" w:ascii="宋体" w:hAnsi="宋体"/>
          <w:color w:val="000000"/>
          <w:szCs w:val="21"/>
        </w:rPr>
        <w:t>上午</w:t>
      </w:r>
      <w:r>
        <w:rPr>
          <w:rFonts w:hint="eastAsia" w:ascii="宋体" w:hAnsi="宋体"/>
          <w:color w:val="000000"/>
          <w:szCs w:val="21"/>
          <w:u w:val="single"/>
        </w:rPr>
        <w:t>8</w:t>
      </w:r>
      <w:r>
        <w:rPr>
          <w:rFonts w:hint="eastAsia" w:ascii="宋体" w:hAnsi="宋体"/>
          <w:color w:val="000000"/>
          <w:szCs w:val="21"/>
        </w:rPr>
        <w:t>时</w:t>
      </w:r>
      <w:r>
        <w:rPr>
          <w:rFonts w:hint="eastAsia" w:ascii="宋体" w:hAnsi="宋体"/>
          <w:color w:val="000000"/>
          <w:szCs w:val="21"/>
          <w:u w:val="single"/>
        </w:rPr>
        <w:t>30</w:t>
      </w:r>
      <w:r>
        <w:rPr>
          <w:rFonts w:hint="eastAsia" w:ascii="宋体" w:hAnsi="宋体"/>
          <w:color w:val="000000"/>
          <w:szCs w:val="21"/>
        </w:rPr>
        <w:t>分至</w:t>
      </w:r>
      <w:r>
        <w:rPr>
          <w:rFonts w:hint="eastAsia" w:ascii="宋体" w:hAnsi="宋体"/>
          <w:color w:val="000000"/>
          <w:szCs w:val="21"/>
          <w:u w:val="single"/>
        </w:rPr>
        <w:t>11</w:t>
      </w:r>
      <w:r>
        <w:rPr>
          <w:rFonts w:hint="eastAsia" w:ascii="宋体" w:hAnsi="宋体"/>
          <w:color w:val="000000"/>
          <w:szCs w:val="21"/>
        </w:rPr>
        <w:t>时</w:t>
      </w:r>
      <w:r>
        <w:rPr>
          <w:rFonts w:hint="eastAsia" w:ascii="宋体" w:hAnsi="宋体"/>
          <w:color w:val="000000"/>
          <w:szCs w:val="21"/>
          <w:u w:val="single"/>
        </w:rPr>
        <w:t>30</w:t>
      </w:r>
      <w:r>
        <w:rPr>
          <w:rFonts w:hint="eastAsia" w:ascii="宋体" w:hAnsi="宋体"/>
          <w:color w:val="000000"/>
          <w:szCs w:val="21"/>
        </w:rPr>
        <w:t>分</w:t>
      </w:r>
      <w:r>
        <w:rPr>
          <w:szCs w:val="21"/>
        </w:rPr>
        <w:t>，</w:t>
      </w:r>
      <w:r>
        <w:rPr>
          <w:rFonts w:hint="eastAsia" w:ascii="宋体" w:hAnsi="宋体"/>
          <w:color w:val="000000"/>
          <w:szCs w:val="21"/>
        </w:rPr>
        <w:t>下午</w:t>
      </w:r>
      <w:r>
        <w:rPr>
          <w:rFonts w:hint="eastAsia" w:ascii="宋体" w:hAnsi="宋体"/>
          <w:color w:val="000000"/>
          <w:szCs w:val="21"/>
          <w:u w:val="single"/>
        </w:rPr>
        <w:t xml:space="preserve"> 14 </w:t>
      </w:r>
      <w:r>
        <w:rPr>
          <w:rFonts w:hint="eastAsia" w:ascii="宋体" w:hAnsi="宋体"/>
          <w:color w:val="000000"/>
          <w:szCs w:val="21"/>
        </w:rPr>
        <w:t>时</w:t>
      </w:r>
      <w:r>
        <w:rPr>
          <w:rFonts w:hint="eastAsia" w:ascii="宋体" w:hAnsi="宋体"/>
          <w:color w:val="000000"/>
          <w:szCs w:val="21"/>
          <w:u w:val="single"/>
        </w:rPr>
        <w:t xml:space="preserve"> 30</w:t>
      </w:r>
      <w:r>
        <w:rPr>
          <w:rFonts w:hint="eastAsia" w:ascii="宋体" w:hAnsi="宋体"/>
          <w:color w:val="000000"/>
          <w:szCs w:val="21"/>
        </w:rPr>
        <w:t>分至</w:t>
      </w:r>
      <w:r>
        <w:rPr>
          <w:rFonts w:hint="eastAsia" w:ascii="宋体" w:hAnsi="宋体"/>
          <w:color w:val="000000"/>
          <w:szCs w:val="21"/>
          <w:u w:val="single"/>
        </w:rPr>
        <w:t>17</w:t>
      </w:r>
      <w:r>
        <w:rPr>
          <w:rFonts w:hint="eastAsia" w:ascii="宋体" w:hAnsi="宋体"/>
          <w:color w:val="000000"/>
          <w:szCs w:val="21"/>
        </w:rPr>
        <w:t>时</w:t>
      </w:r>
      <w:r>
        <w:rPr>
          <w:szCs w:val="21"/>
        </w:rPr>
        <w:t>（北京时间，下同），在</w:t>
      </w:r>
      <w:r>
        <w:rPr>
          <w:rFonts w:hint="eastAsia" w:ascii="宋体" w:hAnsi="宋体"/>
          <w:bCs/>
          <w:color w:val="000000"/>
          <w:szCs w:val="21"/>
          <w:u w:val="single"/>
        </w:rPr>
        <w:t>江西省</w:t>
      </w:r>
      <w:r>
        <w:rPr>
          <w:rFonts w:hint="eastAsia" w:ascii="宋体" w:hAnsi="宋体"/>
          <w:color w:val="000000"/>
          <w:szCs w:val="21"/>
          <w:u w:val="single"/>
        </w:rPr>
        <w:t>南昌市丁公路38号江西省通信产业服务有限公司物流分公司三楼302室，联系人：褚宗静 电话：</w:t>
      </w:r>
      <w:r>
        <w:rPr>
          <w:rFonts w:hint="eastAsia"/>
          <w:szCs w:val="21"/>
          <w:u w:val="single"/>
        </w:rPr>
        <w:t>0791-86118982、86106733、18107004103</w:t>
      </w:r>
      <w:r>
        <w:rPr>
          <w:szCs w:val="21"/>
        </w:rPr>
        <w:t>持单位介绍信</w:t>
      </w:r>
      <w:r>
        <w:rPr>
          <w:rFonts w:hint="eastAsia"/>
          <w:szCs w:val="21"/>
        </w:rPr>
        <w:t>和以下材料（原件或复印件加盖单位章）</w:t>
      </w:r>
      <w:r>
        <w:rPr>
          <w:szCs w:val="21"/>
        </w:rPr>
        <w:t>购买招标文件</w:t>
      </w:r>
      <w:r>
        <w:rPr>
          <w:rFonts w:hint="eastAsia"/>
          <w:szCs w:val="21"/>
        </w:rPr>
        <w:t>：</w:t>
      </w:r>
    </w:p>
    <w:p>
      <w:pPr>
        <w:spacing w:line="360" w:lineRule="auto"/>
        <w:ind w:right="-21" w:firstLine="315" w:firstLineChars="150"/>
        <w:rPr>
          <w:rFonts w:ascii="宋体" w:hAnsi="宋体"/>
          <w:bCs/>
          <w:color w:val="000000"/>
          <w:szCs w:val="21"/>
        </w:rPr>
      </w:pPr>
      <w:bookmarkStart w:id="36" w:name="OLE_LINK3"/>
      <w:r>
        <w:rPr>
          <w:rFonts w:hint="eastAsia" w:ascii="宋体" w:hAnsi="宋体"/>
          <w:bCs/>
          <w:color w:val="000000"/>
          <w:szCs w:val="21"/>
        </w:rPr>
        <w:t>（1）法定代表人身份证明、（法定代表人）授权委托书及经办人的身份证；</w:t>
      </w:r>
    </w:p>
    <w:p>
      <w:pPr>
        <w:spacing w:line="360" w:lineRule="auto"/>
        <w:ind w:right="-21" w:firstLine="315" w:firstLineChars="150"/>
        <w:rPr>
          <w:rFonts w:ascii="宋体" w:hAnsi="宋体"/>
          <w:bCs/>
          <w:color w:val="000000"/>
          <w:szCs w:val="21"/>
        </w:rPr>
      </w:pPr>
      <w:r>
        <w:rPr>
          <w:rFonts w:hint="eastAsia" w:ascii="宋体" w:hAnsi="宋体"/>
          <w:bCs/>
          <w:color w:val="000000"/>
          <w:szCs w:val="21"/>
        </w:rPr>
        <w:t>（2）合格的企业法人</w:t>
      </w:r>
      <w:r>
        <w:rPr>
          <w:rFonts w:ascii="宋体" w:hAnsi="宋体"/>
          <w:bCs/>
          <w:color w:val="000000"/>
          <w:szCs w:val="21"/>
        </w:rPr>
        <w:t>营业执照、税务登记证、组织机构代码证</w:t>
      </w:r>
      <w:r>
        <w:rPr>
          <w:rFonts w:hint="eastAsia" w:ascii="宋体" w:hAnsi="宋体"/>
          <w:bCs/>
          <w:color w:val="000000"/>
          <w:szCs w:val="21"/>
        </w:rPr>
        <w:t>、银行开户许可证；</w:t>
      </w:r>
    </w:p>
    <w:p>
      <w:pPr>
        <w:spacing w:line="360" w:lineRule="auto"/>
        <w:ind w:right="-21" w:firstLine="315" w:firstLineChars="150"/>
        <w:rPr>
          <w:rFonts w:ascii="宋体" w:hAnsi="宋体"/>
          <w:bCs/>
          <w:color w:val="000000"/>
          <w:szCs w:val="21"/>
        </w:rPr>
      </w:pPr>
      <w:r>
        <w:rPr>
          <w:rFonts w:hint="eastAsia" w:ascii="宋体" w:hAnsi="宋体"/>
          <w:bCs/>
          <w:color w:val="000000"/>
          <w:szCs w:val="21"/>
        </w:rPr>
        <w:t>（3）</w:t>
      </w:r>
      <w:r>
        <w:rPr>
          <w:rFonts w:hint="eastAsia" w:ascii="宋体" w:hAnsi="宋体"/>
          <w:color w:val="000000"/>
          <w:szCs w:val="21"/>
        </w:rPr>
        <w:t>通信工程施工总承包叁级及以上</w:t>
      </w:r>
      <w:r>
        <w:rPr>
          <w:rFonts w:ascii="宋体" w:hAnsi="宋体"/>
          <w:color w:val="000000"/>
          <w:szCs w:val="21"/>
        </w:rPr>
        <w:t>资质</w:t>
      </w:r>
      <w:r>
        <w:rPr>
          <w:rFonts w:hint="eastAsia" w:ascii="宋体" w:hAnsi="宋体"/>
          <w:color w:val="000000"/>
          <w:szCs w:val="21"/>
        </w:rPr>
        <w:t>、安全生产许可证</w:t>
      </w:r>
      <w:r>
        <w:rPr>
          <w:rFonts w:hint="eastAsia" w:ascii="宋体" w:hAnsi="宋体"/>
          <w:bCs/>
          <w:color w:val="000000"/>
          <w:szCs w:val="21"/>
        </w:rPr>
        <w:t>；</w:t>
      </w:r>
    </w:p>
    <w:p>
      <w:pPr>
        <w:spacing w:line="360" w:lineRule="auto"/>
        <w:ind w:right="-21" w:firstLine="315" w:firstLineChars="150"/>
        <w:rPr>
          <w:rFonts w:ascii="宋体" w:hAnsi="宋体"/>
          <w:bCs/>
          <w:color w:val="000000"/>
          <w:szCs w:val="21"/>
        </w:rPr>
      </w:pPr>
      <w:r>
        <w:rPr>
          <w:rFonts w:hint="eastAsia" w:ascii="宋体" w:hAnsi="宋体"/>
          <w:bCs/>
          <w:color w:val="000000"/>
          <w:szCs w:val="21"/>
        </w:rPr>
        <w:t>（4）</w:t>
      </w:r>
      <w:r>
        <w:rPr>
          <w:rFonts w:hint="eastAsia" w:ascii="宋体" w:hAnsi="宋体"/>
          <w:color w:val="000000"/>
          <w:szCs w:val="21"/>
        </w:rPr>
        <w:t>增值税一般纳税人资格证明或承诺书</w:t>
      </w:r>
      <w:r>
        <w:rPr>
          <w:rFonts w:hint="eastAsia" w:ascii="宋体" w:hAnsi="宋体"/>
          <w:bCs/>
          <w:color w:val="000000"/>
          <w:szCs w:val="21"/>
        </w:rPr>
        <w:t>；</w:t>
      </w:r>
    </w:p>
    <w:p>
      <w:pPr>
        <w:spacing w:line="360" w:lineRule="auto"/>
        <w:ind w:right="-21" w:firstLine="315" w:firstLineChars="150"/>
        <w:rPr>
          <w:szCs w:val="21"/>
        </w:rPr>
      </w:pPr>
      <w:r>
        <w:rPr>
          <w:rFonts w:hint="eastAsia" w:ascii="宋体" w:hAnsi="宋体"/>
          <w:color w:val="000000"/>
          <w:szCs w:val="21"/>
        </w:rPr>
        <w:t>（5）</w:t>
      </w:r>
      <w:r>
        <w:rPr>
          <w:rFonts w:hint="eastAsia"/>
        </w:rPr>
        <w:t>与招标人不存在利害关系不会影响招标公正性，</w:t>
      </w:r>
      <w:r>
        <w:rPr>
          <w:rFonts w:hint="eastAsia" w:ascii="宋体" w:hAnsi="宋体"/>
          <w:color w:val="000000"/>
          <w:szCs w:val="21"/>
        </w:rPr>
        <w:t>财产没有被接管、冻结，未处于破产状态，</w:t>
      </w:r>
      <w:r>
        <w:rPr>
          <w:rFonts w:hint="eastAsia" w:hAnsi="宋体"/>
          <w:szCs w:val="21"/>
        </w:rPr>
        <w:t>无招标投标法、招标投标法实施条例、工程建设项目施工招标投标办法等相关法律法规、规章规定的其他不得投标情形</w:t>
      </w:r>
      <w:r>
        <w:rPr>
          <w:rFonts w:hint="eastAsia" w:ascii="宋体" w:hAnsi="宋体"/>
          <w:bCs/>
          <w:color w:val="000000"/>
          <w:szCs w:val="21"/>
        </w:rPr>
        <w:t>的自查说明。</w:t>
      </w:r>
    </w:p>
    <w:bookmarkEnd w:id="36"/>
    <w:p>
      <w:pPr>
        <w:spacing w:after="20"/>
        <w:rPr>
          <w:szCs w:val="21"/>
        </w:rPr>
      </w:pPr>
      <w:r>
        <w:rPr>
          <w:rFonts w:hint="eastAsia" w:ascii="宋体" w:hAnsi="宋体"/>
          <w:color w:val="000000"/>
          <w:szCs w:val="21"/>
        </w:rPr>
        <w:t xml:space="preserve">   （以上资料请于报名前原件扫描发到</w:t>
      </w:r>
      <w:r>
        <w:fldChar w:fldCharType="begin"/>
      </w:r>
      <w:r>
        <w:instrText xml:space="preserve">HYPERLINK "mailto:18107004103@189.cn" </w:instrText>
      </w:r>
      <w:r>
        <w:fldChar w:fldCharType="separate"/>
      </w:r>
      <w:r>
        <w:rPr>
          <w:rStyle w:val="5"/>
          <w:rFonts w:hint="eastAsia" w:ascii="宋体" w:hAnsi="宋体"/>
          <w:szCs w:val="21"/>
        </w:rPr>
        <w:t>18107004103@189.cn</w:t>
      </w:r>
      <w:r>
        <w:fldChar w:fldCharType="end"/>
      </w:r>
      <w:r>
        <w:rPr>
          <w:rFonts w:hint="eastAsia" w:ascii="宋体" w:hAnsi="宋体"/>
          <w:color w:val="000000"/>
          <w:szCs w:val="21"/>
        </w:rPr>
        <w:t>,注明招标项目名称和编号）</w:t>
      </w:r>
    </w:p>
    <w:p>
      <w:pPr>
        <w:spacing w:line="400" w:lineRule="exact"/>
        <w:ind w:firstLine="420" w:firstLineChars="200"/>
        <w:rPr>
          <w:szCs w:val="21"/>
        </w:rPr>
      </w:pPr>
      <w:r>
        <w:rPr>
          <w:szCs w:val="21"/>
        </w:rPr>
        <w:t>4.2</w:t>
      </w:r>
      <w:r>
        <w:rPr>
          <w:rFonts w:hint="eastAsia"/>
          <w:szCs w:val="21"/>
        </w:rPr>
        <w:t xml:space="preserve"> </w:t>
      </w:r>
      <w:r>
        <w:rPr>
          <w:szCs w:val="21"/>
        </w:rPr>
        <w:t>招标文件每套售价</w:t>
      </w:r>
      <w:r>
        <w:rPr>
          <w:rFonts w:hint="eastAsia"/>
          <w:szCs w:val="21"/>
          <w:u w:val="single"/>
        </w:rPr>
        <w:t>400</w:t>
      </w:r>
      <w:r>
        <w:rPr>
          <w:szCs w:val="21"/>
        </w:rPr>
        <w:t>元，售后不退。图纸</w:t>
      </w:r>
      <w:r>
        <w:rPr>
          <w:rFonts w:hint="eastAsia"/>
          <w:szCs w:val="21"/>
        </w:rPr>
        <w:t>资料</w:t>
      </w:r>
      <w:r>
        <w:rPr>
          <w:szCs w:val="21"/>
        </w:rPr>
        <w:t>押金</w:t>
      </w:r>
      <w:r>
        <w:rPr>
          <w:rFonts w:hint="eastAsia"/>
          <w:szCs w:val="21"/>
          <w:u w:val="single"/>
        </w:rPr>
        <w:t>／</w:t>
      </w:r>
      <w:r>
        <w:rPr>
          <w:szCs w:val="21"/>
        </w:rPr>
        <w:t>元，在退还图纸</w:t>
      </w:r>
      <w:r>
        <w:rPr>
          <w:rFonts w:hint="eastAsia"/>
          <w:szCs w:val="21"/>
        </w:rPr>
        <w:t>资料</w:t>
      </w:r>
      <w:r>
        <w:rPr>
          <w:szCs w:val="21"/>
        </w:rPr>
        <w:t>时退还（不计利息）。</w:t>
      </w:r>
    </w:p>
    <w:p>
      <w:pPr>
        <w:spacing w:line="400" w:lineRule="exact"/>
        <w:ind w:firstLine="420" w:firstLineChars="200"/>
        <w:rPr>
          <w:szCs w:val="21"/>
        </w:rPr>
      </w:pPr>
      <w:r>
        <w:rPr>
          <w:szCs w:val="21"/>
        </w:rPr>
        <w:t>4.3 邮购招标文件的，需另加手续费</w:t>
      </w:r>
      <w:r>
        <w:rPr>
          <w:rFonts w:hint="eastAsia"/>
          <w:szCs w:val="21"/>
        </w:rPr>
        <w:t>（</w:t>
      </w:r>
      <w:r>
        <w:rPr>
          <w:szCs w:val="21"/>
        </w:rPr>
        <w:t>含邮费</w:t>
      </w:r>
      <w:r>
        <w:rPr>
          <w:rFonts w:hint="eastAsia"/>
          <w:szCs w:val="21"/>
        </w:rPr>
        <w:t>）</w:t>
      </w:r>
      <w:r>
        <w:rPr>
          <w:rFonts w:hint="eastAsia"/>
          <w:szCs w:val="21"/>
          <w:u w:val="single"/>
        </w:rPr>
        <w:t>50</w:t>
      </w:r>
      <w:r>
        <w:rPr>
          <w:szCs w:val="21"/>
        </w:rPr>
        <w:t>元。招标人在收到单位介绍信和邮购款（含手续费）后</w:t>
      </w:r>
      <w:r>
        <w:rPr>
          <w:rFonts w:hint="eastAsia"/>
          <w:szCs w:val="21"/>
          <w:u w:val="single"/>
        </w:rPr>
        <w:t>1</w:t>
      </w:r>
      <w:r>
        <w:rPr>
          <w:rFonts w:hint="eastAsia"/>
          <w:szCs w:val="21"/>
        </w:rPr>
        <w:t>工作</w:t>
      </w:r>
      <w:r>
        <w:rPr>
          <w:szCs w:val="21"/>
        </w:rPr>
        <w:t>日内寄送。</w:t>
      </w:r>
    </w:p>
    <w:p>
      <w:pPr>
        <w:pStyle w:val="2"/>
      </w:pPr>
      <w:bookmarkStart w:id="37" w:name="_Toc144974484"/>
      <w:bookmarkStart w:id="38" w:name="_Toc152042292"/>
      <w:bookmarkStart w:id="39" w:name="_Toc152045516"/>
      <w:bookmarkStart w:id="40" w:name="_Toc179632532"/>
      <w:bookmarkStart w:id="41" w:name="_Toc246996162"/>
      <w:bookmarkStart w:id="42" w:name="_Toc246996905"/>
      <w:bookmarkStart w:id="43" w:name="_Toc247085676"/>
      <w:bookmarkStart w:id="44" w:name="_Toc296602406"/>
      <w:bookmarkStart w:id="45" w:name="_Toc419974079"/>
      <w:r>
        <w:t>5. 投标文件的递交</w:t>
      </w:r>
      <w:bookmarkEnd w:id="37"/>
      <w:bookmarkEnd w:id="38"/>
      <w:bookmarkEnd w:id="39"/>
      <w:bookmarkEnd w:id="40"/>
      <w:bookmarkEnd w:id="41"/>
      <w:bookmarkEnd w:id="42"/>
      <w:bookmarkEnd w:id="43"/>
      <w:bookmarkEnd w:id="44"/>
      <w:bookmarkEnd w:id="45"/>
    </w:p>
    <w:p>
      <w:pPr>
        <w:spacing w:line="400" w:lineRule="exact"/>
        <w:ind w:left="630" w:leftChars="200" w:hanging="210" w:hangingChars="100"/>
        <w:rPr>
          <w:szCs w:val="21"/>
        </w:rPr>
      </w:pPr>
      <w:r>
        <w:rPr>
          <w:szCs w:val="21"/>
        </w:rPr>
        <w:t>5.1</w:t>
      </w:r>
      <w:r>
        <w:rPr>
          <w:rFonts w:hint="eastAsia"/>
          <w:szCs w:val="21"/>
        </w:rPr>
        <w:t xml:space="preserve"> </w:t>
      </w:r>
      <w:r>
        <w:rPr>
          <w:szCs w:val="21"/>
        </w:rPr>
        <w:t>投标文件递交的截止时间（投标截止时间，下同）为</w:t>
      </w:r>
      <w:r>
        <w:rPr>
          <w:rFonts w:hint="eastAsia"/>
          <w:szCs w:val="21"/>
          <w:u w:val="single"/>
        </w:rPr>
        <w:t>2015年6</w:t>
      </w:r>
      <w:r>
        <w:rPr>
          <w:szCs w:val="21"/>
        </w:rPr>
        <w:t>月</w:t>
      </w:r>
      <w:r>
        <w:rPr>
          <w:rFonts w:hint="eastAsia"/>
          <w:szCs w:val="21"/>
          <w:u w:val="single"/>
        </w:rPr>
        <w:t>24</w:t>
      </w:r>
      <w:r>
        <w:rPr>
          <w:szCs w:val="21"/>
        </w:rPr>
        <w:t>日</w:t>
      </w:r>
      <w:r>
        <w:rPr>
          <w:rFonts w:hint="eastAsia"/>
          <w:szCs w:val="21"/>
          <w:u w:val="single"/>
        </w:rPr>
        <w:t>9</w:t>
      </w:r>
      <w:r>
        <w:rPr>
          <w:szCs w:val="21"/>
        </w:rPr>
        <w:t>时</w:t>
      </w:r>
      <w:r>
        <w:rPr>
          <w:rFonts w:hint="eastAsia"/>
          <w:szCs w:val="21"/>
          <w:u w:val="single"/>
        </w:rPr>
        <w:t>0</w:t>
      </w:r>
      <w:r>
        <w:rPr>
          <w:szCs w:val="21"/>
        </w:rPr>
        <w:t>分，</w:t>
      </w:r>
    </w:p>
    <w:p>
      <w:pPr>
        <w:spacing w:line="400" w:lineRule="exact"/>
        <w:rPr>
          <w:szCs w:val="21"/>
        </w:rPr>
      </w:pPr>
      <w:r>
        <w:rPr>
          <w:rFonts w:ascii="宋体" w:hAnsi="宋体"/>
        </w:rPr>
        <w:t>地点为</w:t>
      </w:r>
      <w:r>
        <w:rPr>
          <w:rFonts w:hint="eastAsia" w:ascii="宋体" w:hAnsi="宋体"/>
          <w:szCs w:val="21"/>
          <w:u w:val="single"/>
        </w:rPr>
        <w:t>江西省吉安市青原区井冈山大桥东联通大楼中国联通吉安市分公司11楼会议室</w:t>
      </w:r>
      <w:r>
        <w:rPr>
          <w:rFonts w:hint="eastAsia" w:ascii="宋体" w:hAnsi="宋体"/>
        </w:rPr>
        <w:t>，收件人为褚宗静</w:t>
      </w:r>
      <w:r>
        <w:rPr>
          <w:rFonts w:ascii="宋体" w:hAnsi="宋体"/>
        </w:rPr>
        <w:t>。</w:t>
      </w:r>
    </w:p>
    <w:p>
      <w:pPr>
        <w:tabs>
          <w:tab w:val="left" w:pos="360"/>
        </w:tabs>
        <w:spacing w:line="400" w:lineRule="exact"/>
        <w:ind w:firstLine="420" w:firstLineChars="200"/>
        <w:rPr>
          <w:szCs w:val="21"/>
        </w:rPr>
      </w:pPr>
      <w:r>
        <w:rPr>
          <w:szCs w:val="21"/>
        </w:rPr>
        <w:t>5.2 逾期送达的</w:t>
      </w:r>
      <w:r>
        <w:rPr>
          <w:rFonts w:hint="eastAsia"/>
          <w:szCs w:val="21"/>
        </w:rPr>
        <w:t>、</w:t>
      </w:r>
      <w:r>
        <w:rPr>
          <w:szCs w:val="21"/>
        </w:rPr>
        <w:t>未送达指定地点的</w:t>
      </w:r>
      <w:r>
        <w:rPr>
          <w:rFonts w:hint="eastAsia"/>
          <w:szCs w:val="21"/>
        </w:rPr>
        <w:t>、未购买招标文件的</w:t>
      </w:r>
      <w:r>
        <w:rPr>
          <w:szCs w:val="21"/>
        </w:rPr>
        <w:t>投标文件，招标人不予受理</w:t>
      </w:r>
      <w:r>
        <w:rPr>
          <w:rFonts w:hint="eastAsia"/>
          <w:szCs w:val="21"/>
        </w:rPr>
        <w:t>。</w:t>
      </w:r>
      <w:r>
        <w:rPr>
          <w:rFonts w:hint="eastAsia" w:ascii="宋体" w:hAnsi="宋体"/>
          <w:color w:val="000000"/>
        </w:rPr>
        <w:t>未提交投标保证金的投标文件将被否决。投标保证金在招标结束后按招标文件规定的期限退还投标</w:t>
      </w:r>
      <w:r>
        <w:rPr>
          <w:rFonts w:hint="eastAsia" w:ascii="宋体" w:hAnsi="宋体"/>
        </w:rPr>
        <w:t>单位。</w:t>
      </w:r>
    </w:p>
    <w:p>
      <w:pPr>
        <w:pStyle w:val="2"/>
      </w:pPr>
      <w:bookmarkStart w:id="46" w:name="_Toc157499355"/>
      <w:bookmarkStart w:id="47" w:name="_Toc179632533"/>
      <w:bookmarkStart w:id="48" w:name="_Toc246996163"/>
      <w:bookmarkStart w:id="49" w:name="_Toc246996906"/>
      <w:bookmarkStart w:id="50" w:name="_Toc247085677"/>
      <w:bookmarkStart w:id="51" w:name="_Toc296602407"/>
      <w:bookmarkStart w:id="52" w:name="_Toc419974080"/>
      <w:r>
        <w:rPr>
          <w:rFonts w:hint="eastAsia"/>
        </w:rPr>
        <w:t>6. 发布公告的媒介</w:t>
      </w:r>
      <w:bookmarkEnd w:id="46"/>
      <w:bookmarkEnd w:id="47"/>
      <w:bookmarkEnd w:id="48"/>
      <w:bookmarkEnd w:id="49"/>
      <w:bookmarkEnd w:id="50"/>
      <w:bookmarkEnd w:id="51"/>
      <w:bookmarkEnd w:id="52"/>
    </w:p>
    <w:p>
      <w:pPr>
        <w:spacing w:line="360" w:lineRule="auto"/>
        <w:ind w:right="-21"/>
      </w:pPr>
      <w:r>
        <w:rPr>
          <w:rFonts w:hint="eastAsia" w:ascii="宋体" w:hAnsi="宋体"/>
          <w:bCs/>
          <w:color w:val="000000"/>
          <w:szCs w:val="21"/>
        </w:rPr>
        <w:t xml:space="preserve">     本次招标公告仅在中国采购与招标网（</w:t>
      </w:r>
      <w:r>
        <w:rPr>
          <w:rFonts w:ascii="宋体" w:hAnsi="宋体"/>
          <w:bCs/>
          <w:color w:val="000000"/>
          <w:szCs w:val="21"/>
        </w:rPr>
        <w:t>http://www.chinabidding.com.cn/zbw/index.jsp</w:t>
      </w:r>
      <w:r>
        <w:rPr>
          <w:rFonts w:hint="eastAsia" w:ascii="宋体" w:hAnsi="宋体"/>
          <w:bCs/>
          <w:color w:val="000000"/>
          <w:szCs w:val="21"/>
        </w:rPr>
        <w:t>）、江西省招标投标网（</w:t>
      </w:r>
      <w:r>
        <w:rPr>
          <w:rFonts w:ascii="宋体" w:hAnsi="宋体"/>
          <w:bCs/>
          <w:color w:val="000000"/>
          <w:szCs w:val="21"/>
        </w:rPr>
        <w:t>http://www.jxtb.org.cn/</w:t>
      </w:r>
      <w:r>
        <w:rPr>
          <w:rFonts w:hint="eastAsia" w:ascii="宋体" w:hAnsi="宋体"/>
          <w:bCs/>
          <w:color w:val="000000"/>
          <w:szCs w:val="21"/>
        </w:rPr>
        <w:t>）、中国联通采购与招标网——电子交易平台（</w:t>
      </w:r>
      <w:r>
        <w:rPr>
          <w:rFonts w:ascii="宋体" w:hAnsi="宋体"/>
          <w:bCs/>
          <w:color w:val="000000"/>
          <w:szCs w:val="21"/>
        </w:rPr>
        <w:t>http://www.chinaunicombidding.cn/jsp/cnceb/web/index.jsp</w:t>
      </w:r>
      <w:r>
        <w:rPr>
          <w:rFonts w:hint="eastAsia" w:ascii="宋体" w:hAnsi="宋体"/>
          <w:bCs/>
          <w:color w:val="000000"/>
          <w:szCs w:val="21"/>
        </w:rPr>
        <w:t>）</w:t>
      </w:r>
      <w:r>
        <w:rPr>
          <w:rFonts w:hint="eastAsia" w:ascii="宋体" w:hAnsi="宋体"/>
          <w:szCs w:val="21"/>
        </w:rPr>
        <w:t>、通信工程建设项目招标投标管理信息平台(</w:t>
      </w:r>
      <w:r>
        <w:rPr>
          <w:rFonts w:ascii="宋体" w:hAnsi="宋体"/>
          <w:szCs w:val="21"/>
        </w:rPr>
        <w:t>http://txzb.miit.gov.cn</w:t>
      </w:r>
      <w:r>
        <w:rPr>
          <w:rFonts w:hint="eastAsia" w:ascii="宋体" w:hAnsi="宋体"/>
          <w:szCs w:val="21"/>
        </w:rPr>
        <w:t>)</w:t>
      </w:r>
      <w:r>
        <w:rPr>
          <w:rFonts w:hint="eastAsia" w:ascii="宋体" w:hAnsi="宋体"/>
          <w:bCs/>
          <w:color w:val="000000"/>
          <w:szCs w:val="21"/>
        </w:rPr>
        <w:t>上同时发布，经其他途径获取的信息与招标人、招标代理机构无关。</w:t>
      </w:r>
    </w:p>
    <w:p>
      <w:pPr>
        <w:pStyle w:val="2"/>
      </w:pPr>
      <w:bookmarkStart w:id="53" w:name="_Toc144974485"/>
      <w:bookmarkStart w:id="54" w:name="_Toc152042293"/>
      <w:bookmarkStart w:id="55" w:name="_Toc152045517"/>
      <w:bookmarkStart w:id="56" w:name="_Toc179632534"/>
      <w:bookmarkStart w:id="57" w:name="_Toc246996164"/>
      <w:bookmarkStart w:id="58" w:name="_Toc246996907"/>
      <w:bookmarkStart w:id="59" w:name="_Toc247085678"/>
      <w:bookmarkStart w:id="60" w:name="_Toc296602408"/>
      <w:bookmarkStart w:id="61" w:name="_Toc419974081"/>
      <w:r>
        <w:rPr>
          <w:rFonts w:hint="eastAsia"/>
        </w:rPr>
        <w:t>7</w:t>
      </w:r>
      <w:r>
        <w:t>. 联系方式</w:t>
      </w:r>
      <w:bookmarkEnd w:id="53"/>
      <w:bookmarkEnd w:id="54"/>
      <w:bookmarkEnd w:id="55"/>
      <w:bookmarkEnd w:id="56"/>
      <w:bookmarkEnd w:id="57"/>
      <w:bookmarkEnd w:id="58"/>
      <w:bookmarkEnd w:id="59"/>
      <w:bookmarkEnd w:id="60"/>
      <w:bookmarkEnd w:id="61"/>
    </w:p>
    <w:p>
      <w:pPr>
        <w:topLinePunct w:val="1"/>
        <w:spacing w:line="400" w:lineRule="exact"/>
        <w:rPr>
          <w:b/>
          <w:szCs w:val="21"/>
        </w:rPr>
      </w:pPr>
      <w:r>
        <w:rPr>
          <w:b/>
          <w:szCs w:val="21"/>
        </w:rPr>
        <w:t>招 标 人</w:t>
      </w:r>
    </w:p>
    <w:p>
      <w:pPr>
        <w:spacing w:after="20"/>
        <w:rPr>
          <w:rFonts w:ascii="宋体" w:hAnsi="宋体"/>
          <w:color w:val="000000"/>
          <w:szCs w:val="21"/>
          <w:u w:val="single"/>
        </w:rPr>
      </w:pPr>
      <w:r>
        <w:rPr>
          <w:szCs w:val="21"/>
        </w:rPr>
        <w:t>地    址：</w:t>
      </w:r>
      <w:r>
        <w:rPr>
          <w:rFonts w:hint="eastAsia" w:ascii="宋体" w:hAnsi="宋体"/>
          <w:color w:val="000000"/>
          <w:szCs w:val="21"/>
          <w:u w:val="single"/>
        </w:rPr>
        <w:t>江西省吉安市青原区井冈山大桥东联通大楼</w:t>
      </w:r>
    </w:p>
    <w:p>
      <w:pPr>
        <w:spacing w:after="20"/>
        <w:rPr>
          <w:rFonts w:ascii="宋体" w:hAnsi="宋体"/>
          <w:szCs w:val="21"/>
        </w:rPr>
      </w:pPr>
      <w:r>
        <w:rPr>
          <w:rFonts w:ascii="宋体" w:hAnsi="宋体"/>
          <w:szCs w:val="21"/>
        </w:rPr>
        <w:t>邮    编：</w:t>
      </w:r>
      <w:r>
        <w:fldChar w:fldCharType="begin"/>
      </w:r>
      <w:r>
        <w:instrText xml:space="preserve">HYPERLINK "http://www.youbianku.com/332000" \o "link:332000" </w:instrText>
      </w:r>
      <w:r>
        <w:fldChar w:fldCharType="separate"/>
      </w:r>
      <w:r>
        <w:fldChar w:fldCharType="end"/>
      </w:r>
      <w:r>
        <w:rPr>
          <w:rFonts w:hint="eastAsia" w:ascii="宋体" w:hAnsi="宋体"/>
          <w:color w:val="000000"/>
          <w:szCs w:val="21"/>
          <w:u w:val="single"/>
        </w:rPr>
        <w:t>343000</w:t>
      </w:r>
    </w:p>
    <w:p>
      <w:pPr>
        <w:spacing w:after="20"/>
        <w:rPr>
          <w:rFonts w:ascii="宋体" w:hAnsi="宋体"/>
          <w:szCs w:val="21"/>
          <w:u w:val="single"/>
        </w:rPr>
      </w:pPr>
      <w:r>
        <w:rPr>
          <w:rFonts w:ascii="宋体" w:hAnsi="宋体"/>
          <w:szCs w:val="21"/>
        </w:rPr>
        <w:t>联 系 人：</w:t>
      </w:r>
      <w:r>
        <w:rPr>
          <w:rFonts w:hint="eastAsia" w:ascii="宋体" w:hAnsi="宋体"/>
          <w:szCs w:val="21"/>
          <w:u w:val="single"/>
        </w:rPr>
        <w:t>吴垂华</w:t>
      </w:r>
    </w:p>
    <w:p>
      <w:pPr>
        <w:spacing w:after="20"/>
        <w:rPr>
          <w:rFonts w:ascii="宋体" w:hAnsi="宋体"/>
          <w:szCs w:val="21"/>
        </w:rPr>
      </w:pPr>
      <w:r>
        <w:rPr>
          <w:rFonts w:ascii="宋体" w:hAnsi="宋体"/>
          <w:szCs w:val="21"/>
        </w:rPr>
        <w:t>电    话：</w:t>
      </w:r>
      <w:r>
        <w:rPr>
          <w:rFonts w:hint="eastAsia" w:ascii="宋体" w:hAnsi="宋体"/>
          <w:szCs w:val="21"/>
          <w:u w:val="single"/>
        </w:rPr>
        <w:t xml:space="preserve">18679601037 </w:t>
      </w:r>
    </w:p>
    <w:p>
      <w:pPr>
        <w:spacing w:after="20"/>
        <w:rPr>
          <w:rFonts w:ascii="宋体" w:hAnsi="宋体"/>
          <w:color w:val="000000"/>
          <w:szCs w:val="21"/>
        </w:rPr>
      </w:pPr>
      <w:r>
        <w:rPr>
          <w:rFonts w:ascii="宋体" w:hAnsi="宋体"/>
          <w:szCs w:val="21"/>
        </w:rPr>
        <w:t>电子邮件：</w:t>
      </w:r>
    </w:p>
    <w:p>
      <w:pPr>
        <w:spacing w:after="20"/>
        <w:rPr>
          <w:rFonts w:ascii="宋体" w:hAnsi="宋体"/>
          <w:b/>
          <w:color w:val="000000"/>
          <w:szCs w:val="21"/>
        </w:rPr>
      </w:pPr>
      <w:r>
        <w:rPr>
          <w:rFonts w:hint="eastAsia" w:ascii="宋体" w:hAnsi="宋体"/>
          <w:b/>
          <w:color w:val="000000"/>
          <w:szCs w:val="21"/>
        </w:rPr>
        <w:t>招标代理机构</w:t>
      </w:r>
    </w:p>
    <w:p>
      <w:pPr>
        <w:spacing w:after="20"/>
        <w:rPr>
          <w:rFonts w:ascii="宋体" w:hAnsi="宋体"/>
          <w:szCs w:val="21"/>
        </w:rPr>
      </w:pPr>
      <w:r>
        <w:rPr>
          <w:rFonts w:hint="eastAsia" w:ascii="宋体" w:hAnsi="宋体"/>
          <w:szCs w:val="21"/>
        </w:rPr>
        <w:t>地址：</w:t>
      </w:r>
      <w:r>
        <w:rPr>
          <w:rFonts w:hint="eastAsia" w:ascii="宋体" w:hAnsi="宋体"/>
          <w:szCs w:val="21"/>
          <w:u w:val="single"/>
        </w:rPr>
        <w:t>江西省南昌市丁公路38号</w:t>
      </w:r>
    </w:p>
    <w:p>
      <w:pPr>
        <w:spacing w:after="20"/>
        <w:rPr>
          <w:rFonts w:ascii="宋体" w:hAnsi="宋体"/>
          <w:szCs w:val="21"/>
        </w:rPr>
      </w:pPr>
      <w:r>
        <w:rPr>
          <w:rFonts w:hint="eastAsia" w:ascii="宋体" w:hAnsi="宋体"/>
          <w:szCs w:val="21"/>
        </w:rPr>
        <w:t>邮编：</w:t>
      </w:r>
      <w:r>
        <w:rPr>
          <w:rFonts w:hint="eastAsia" w:ascii="宋体" w:hAnsi="宋体"/>
          <w:szCs w:val="21"/>
          <w:u w:val="single"/>
        </w:rPr>
        <w:t>330002</w:t>
      </w:r>
    </w:p>
    <w:p>
      <w:pPr>
        <w:spacing w:after="20"/>
        <w:rPr>
          <w:rFonts w:ascii="宋体" w:hAnsi="宋体"/>
          <w:szCs w:val="21"/>
        </w:rPr>
      </w:pPr>
      <w:r>
        <w:rPr>
          <w:rFonts w:hint="eastAsia" w:ascii="宋体" w:hAnsi="宋体"/>
          <w:szCs w:val="21"/>
        </w:rPr>
        <w:t>联系人：</w:t>
      </w:r>
      <w:r>
        <w:rPr>
          <w:rFonts w:hint="eastAsia" w:ascii="宋体" w:hAnsi="宋体"/>
          <w:szCs w:val="21"/>
          <w:u w:val="single"/>
        </w:rPr>
        <w:t>褚宗静</w:t>
      </w:r>
    </w:p>
    <w:p>
      <w:pPr>
        <w:spacing w:after="20"/>
        <w:rPr>
          <w:rFonts w:ascii="宋体" w:hAnsi="宋体"/>
          <w:szCs w:val="21"/>
        </w:rPr>
      </w:pPr>
      <w:r>
        <w:rPr>
          <w:rFonts w:hint="eastAsia" w:ascii="宋体" w:hAnsi="宋体"/>
          <w:szCs w:val="21"/>
        </w:rPr>
        <w:t>电话：</w:t>
      </w:r>
      <w:r>
        <w:rPr>
          <w:rFonts w:hint="eastAsia" w:ascii="宋体" w:hAnsi="宋体"/>
          <w:szCs w:val="21"/>
          <w:u w:val="single"/>
        </w:rPr>
        <w:t>0791-86106733、86108982；18107004103</w:t>
      </w:r>
    </w:p>
    <w:p>
      <w:pPr>
        <w:spacing w:after="20"/>
        <w:rPr>
          <w:rFonts w:ascii="宋体" w:hAnsi="宋体"/>
          <w:szCs w:val="21"/>
        </w:rPr>
      </w:pPr>
      <w:r>
        <w:rPr>
          <w:rFonts w:hint="eastAsia" w:ascii="宋体" w:hAnsi="宋体"/>
          <w:szCs w:val="21"/>
        </w:rPr>
        <w:t>传真：</w:t>
      </w:r>
      <w:r>
        <w:rPr>
          <w:rFonts w:hint="eastAsia" w:ascii="宋体" w:hAnsi="宋体"/>
          <w:szCs w:val="21"/>
          <w:u w:val="single"/>
        </w:rPr>
        <w:t>0791-86113504</w:t>
      </w:r>
    </w:p>
    <w:p>
      <w:pPr>
        <w:spacing w:after="20"/>
        <w:rPr>
          <w:rFonts w:ascii="宋体" w:hAnsi="宋体"/>
          <w:szCs w:val="21"/>
        </w:rPr>
      </w:pPr>
      <w:r>
        <w:rPr>
          <w:rFonts w:hint="eastAsia" w:ascii="宋体" w:hAnsi="宋体"/>
          <w:szCs w:val="21"/>
        </w:rPr>
        <w:t>电子邮件：</w:t>
      </w:r>
      <w:r>
        <w:fldChar w:fldCharType="begin"/>
      </w:r>
      <w:r>
        <w:instrText xml:space="preserve">HYPERLINK "mailto:1471788952@qq.com" </w:instrText>
      </w:r>
      <w:r>
        <w:fldChar w:fldCharType="separate"/>
      </w:r>
      <w:r>
        <w:rPr>
          <w:rFonts w:hint="eastAsia" w:ascii="宋体" w:hAnsi="宋体"/>
          <w:szCs w:val="21"/>
          <w:u w:val="single"/>
        </w:rPr>
        <w:t>18107004103@189.cn</w:t>
      </w:r>
      <w:r>
        <w:fldChar w:fldCharType="end"/>
      </w:r>
    </w:p>
    <w:p>
      <w:pPr>
        <w:spacing w:after="20"/>
        <w:rPr>
          <w:rFonts w:ascii="宋体" w:hAnsi="宋体"/>
          <w:szCs w:val="21"/>
        </w:rPr>
      </w:pPr>
      <w:r>
        <w:rPr>
          <w:rFonts w:hint="eastAsia" w:ascii="宋体" w:hAnsi="宋体"/>
          <w:szCs w:val="21"/>
        </w:rPr>
        <w:t>招标代理机构开户银行：</w:t>
      </w:r>
      <w:r>
        <w:rPr>
          <w:rFonts w:hint="eastAsia" w:ascii="宋体" w:hAnsi="宋体"/>
          <w:szCs w:val="21"/>
          <w:u w:val="single"/>
        </w:rPr>
        <w:t>工行南昌市北京西路支行</w:t>
      </w:r>
      <w:r>
        <w:rPr>
          <w:rFonts w:hint="eastAsia" w:ascii="宋体" w:hAnsi="宋体"/>
          <w:szCs w:val="21"/>
        </w:rPr>
        <w:t xml:space="preserve">  </w:t>
      </w:r>
    </w:p>
    <w:p>
      <w:pPr>
        <w:spacing w:after="20"/>
        <w:rPr>
          <w:szCs w:val="21"/>
        </w:rPr>
      </w:pPr>
      <w:r>
        <w:rPr>
          <w:rFonts w:hint="eastAsia"/>
          <w:szCs w:val="21"/>
        </w:rPr>
        <w:t>账号：</w:t>
      </w:r>
      <w:r>
        <w:rPr>
          <w:rFonts w:hint="eastAsia"/>
          <w:szCs w:val="21"/>
          <w:u w:val="single"/>
        </w:rPr>
        <w:t>1502 2060 0930 0209 812</w:t>
      </w:r>
    </w:p>
    <w:p>
      <w:pPr>
        <w:spacing w:after="20"/>
        <w:rPr>
          <w:szCs w:val="21"/>
        </w:rPr>
      </w:pPr>
      <w:r>
        <w:rPr>
          <w:rFonts w:hint="eastAsia"/>
          <w:szCs w:val="21"/>
        </w:rPr>
        <w:t>帐户名称：</w:t>
      </w:r>
      <w:r>
        <w:rPr>
          <w:rFonts w:hint="eastAsia"/>
          <w:szCs w:val="21"/>
          <w:u w:val="single"/>
        </w:rPr>
        <w:t>江西省通信产业服务有限公司物流分公司</w:t>
      </w:r>
    </w:p>
    <w:p>
      <w:pPr>
        <w:spacing w:line="400" w:lineRule="exact"/>
        <w:rPr>
          <w:szCs w:val="21"/>
        </w:rPr>
      </w:pPr>
      <w:r>
        <w:rPr>
          <w:szCs w:val="21"/>
        </w:rPr>
        <w:t xml:space="preserve">                                             　　　　　　　　　　　　　　　　　　　　　　　　　                                            </w:t>
      </w:r>
    </w:p>
    <w:p>
      <w:pPr>
        <w:jc w:val="right"/>
        <w:rPr>
          <w:szCs w:val="21"/>
        </w:rPr>
      </w:pPr>
      <w:r>
        <w:rPr>
          <w:rFonts w:hint="eastAsia"/>
          <w:szCs w:val="21"/>
        </w:rPr>
        <w:t>江西省通信产业服务有限公司</w:t>
      </w:r>
      <w:r>
        <w:rPr>
          <w:szCs w:val="21"/>
        </w:rPr>
        <w:t>　　　　　　　　　　　　　　　　　　　　　　　　</w:t>
      </w:r>
    </w:p>
    <w:p>
      <w:pPr>
        <w:jc w:val="right"/>
        <w:rPr>
          <w:szCs w:val="21"/>
        </w:rPr>
      </w:pPr>
    </w:p>
    <w:p>
      <w:pPr>
        <w:jc w:val="right"/>
      </w:pPr>
      <w:r>
        <w:rPr>
          <w:szCs w:val="21"/>
        </w:rPr>
        <w:t>　</w:t>
      </w:r>
      <w:r>
        <w:rPr>
          <w:rFonts w:hint="eastAsia"/>
          <w:szCs w:val="21"/>
        </w:rPr>
        <w:t>2015年6月3日</w:t>
      </w:r>
    </w:p>
    <w:sectPr>
      <w:pgSz w:w="11906" w:h="16838"/>
      <w:pgMar w:top="1440" w:right="1416" w:bottom="1440" w:left="12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楷体_GB2312">
    <w:panose1 w:val="02010609030101010101"/>
    <w:charset w:val="86"/>
    <w:family w:val="auto"/>
    <w:pitch w:val="default"/>
    <w:sig w:usb0="00000001" w:usb1="080E0000" w:usb2="00000000" w:usb3="00000000" w:csb0="00040000" w:csb1="00000000"/>
  </w:font>
  <w:font w:name="Calibri">
    <w:panose1 w:val="020F0502020204030204"/>
    <w:charset w:val="00"/>
    <w:family w:val="auto"/>
    <w:pitch w:val="default"/>
    <w:sig w:usb0="A00002EF" w:usb1="4000207B" w:usb2="00000000" w:usb3="00000000" w:csb0="2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1C7A27"/>
    <w:rsid w:val="001C7A27"/>
    <w:rsid w:val="005025DF"/>
    <w:rsid w:val="0740623E"/>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0" w:name="header"/>
    <w:lsdException w:unhideWhenUsed="0" w:uiPriority="0"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7"/>
    <w:qFormat/>
    <w:uiPriority w:val="0"/>
    <w:pPr>
      <w:keepNext/>
      <w:keepLines/>
      <w:spacing w:before="260" w:after="260" w:line="415" w:lineRule="auto"/>
      <w:outlineLvl w:val="1"/>
    </w:pPr>
    <w:rPr>
      <w:rFonts w:ascii="Arial" w:hAnsi="Arial" w:eastAsia="黑体"/>
      <w:b/>
      <w:bCs/>
      <w:sz w:val="32"/>
      <w:szCs w:val="32"/>
    </w:rPr>
  </w:style>
  <w:style w:type="character" w:default="1" w:styleId="4">
    <w:name w:val="Default Paragraph Font"/>
    <w:unhideWhenUsed/>
    <w:uiPriority w:val="1"/>
  </w:style>
  <w:style w:type="table" w:default="1" w:styleId="6">
    <w:name w:val="Normal Table"/>
    <w:unhideWhenUsed/>
    <w:qFormat/>
    <w:uiPriority w:val="99"/>
    <w:tblPr>
      <w:tblStyle w:val="6"/>
      <w:tblLayout w:type="fixed"/>
      <w:tblCellMar>
        <w:top w:w="0" w:type="dxa"/>
        <w:left w:w="108" w:type="dxa"/>
        <w:bottom w:w="0" w:type="dxa"/>
        <w:right w:w="108" w:type="dxa"/>
      </w:tblCellMar>
    </w:tblPr>
    <w:tcPr>
      <w:textDirection w:val="lrTb"/>
    </w:tcPr>
  </w:style>
  <w:style w:type="paragraph" w:styleId="3">
    <w:name w:val="footer"/>
    <w:basedOn w:val="1"/>
    <w:link w:val="8"/>
    <w:uiPriority w:val="0"/>
    <w:pPr>
      <w:tabs>
        <w:tab w:val="center" w:pos="4153"/>
        <w:tab w:val="right" w:pos="8306"/>
      </w:tabs>
      <w:snapToGrid w:val="0"/>
      <w:jc w:val="left"/>
    </w:pPr>
    <w:rPr>
      <w:sz w:val="18"/>
      <w:szCs w:val="18"/>
    </w:rPr>
  </w:style>
  <w:style w:type="character" w:styleId="5">
    <w:name w:val="Hyperlink"/>
    <w:basedOn w:val="4"/>
    <w:uiPriority w:val="99"/>
    <w:rPr>
      <w:color w:val="0000FF"/>
      <w:u w:val="single"/>
    </w:rPr>
  </w:style>
  <w:style w:type="character" w:customStyle="1" w:styleId="7">
    <w:name w:val="标题 2 Char"/>
    <w:basedOn w:val="4"/>
    <w:link w:val="2"/>
    <w:uiPriority w:val="0"/>
    <w:rPr>
      <w:rFonts w:ascii="Arial" w:hAnsi="Arial" w:eastAsia="黑体" w:cs="Times New Roman"/>
      <w:b/>
      <w:bCs/>
      <w:sz w:val="32"/>
      <w:szCs w:val="32"/>
    </w:rPr>
  </w:style>
  <w:style w:type="character" w:customStyle="1" w:styleId="8">
    <w:name w:val="页脚 Char"/>
    <w:basedOn w:val="4"/>
    <w:link w:val="3"/>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385</Words>
  <Characters>2195</Characters>
  <Lines>18</Lines>
  <Paragraphs>5</Paragraphs>
  <ScaleCrop>false</ScaleCrop>
  <LinksUpToDate>false</LinksUpToDate>
  <CharactersWithSpaces>0</CharactersWithSpaces>
  <Application>WPS Office 个人版_9.1.0.4993_{F1E327BC-269C-435d-A152-05C5408002CA}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2015-06-01T00:49:00Z</dcterms:created>
  <dc:creator>jujumao.org</dc:creator>
  <cp:lastModifiedBy>jx-guox</cp:lastModifiedBy>
  <dcterms:modified xsi:type="dcterms:W3CDTF">2015-06-01T02:19:11Z</dcterms:modified>
  <dc:title>2015年中国联通吉安市分公司传输管道项目工程施工     招标公告</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2052-9.1.0.4993</vt:lpwstr>
  </property>
</Properties>
</file>